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B7B98A1">
      <w:pPr>
        <w:spacing w:line="400" w:lineRule="exact"/>
        <w:jc w:val="center"/>
        <w:rPr>
          <w:rFonts w:ascii="Times New Roman" w:hAnsi="Times New Roman"/>
          <w:color w:val="000000"/>
        </w:rPr>
      </w:pPr>
      <w:bookmarkStart w:id="489" w:name="_GoBack"/>
    </w:p>
    <w:p w14:paraId="106FF57D">
      <w:pPr>
        <w:spacing w:line="400" w:lineRule="exact"/>
        <w:jc w:val="center"/>
        <w:rPr>
          <w:rFonts w:ascii="Times New Roman" w:hAnsi="Times New Roman"/>
          <w:color w:val="000000"/>
        </w:rPr>
      </w:pPr>
    </w:p>
    <w:p w14:paraId="78495604">
      <w:pPr>
        <w:spacing w:line="400" w:lineRule="exact"/>
        <w:jc w:val="center"/>
        <w:rPr>
          <w:rFonts w:ascii="Times New Roman" w:hAnsi="Times New Roman"/>
          <w:color w:val="000000"/>
        </w:rPr>
      </w:pPr>
    </w:p>
    <w:p w14:paraId="166CDAA0">
      <w:pPr>
        <w:keepNext w:val="0"/>
        <w:keepLines w:val="0"/>
        <w:pageBreakBefore w:val="0"/>
        <w:widowControl w:val="0"/>
        <w:kinsoku/>
        <w:wordWrap/>
        <w:overflowPunct/>
        <w:topLinePunct w:val="0"/>
        <w:autoSpaceDE/>
        <w:autoSpaceDN/>
        <w:bidi w:val="0"/>
        <w:adjustRightInd/>
        <w:snapToGrid/>
        <w:ind w:firstLine="0"/>
        <w:jc w:val="center"/>
        <w:textAlignment w:val="auto"/>
        <w:rPr>
          <w:rFonts w:ascii="Times New Roman" w:hAnsi="Times New Roman"/>
        </w:rPr>
      </w:pPr>
      <w:r>
        <w:rPr>
          <w:rFonts w:hint="eastAsia" w:ascii="黑体" w:eastAsia="黑体"/>
          <w:sz w:val="52"/>
          <w:szCs w:val="52"/>
          <w:lang w:val="en-US" w:eastAsia="zh-CN"/>
        </w:rPr>
        <w:t>呼和浩特市</w:t>
      </w:r>
    </w:p>
    <w:p w14:paraId="5719B513">
      <w:pPr>
        <w:topLinePunct/>
        <w:spacing w:line="400" w:lineRule="atLeast"/>
        <w:jc w:val="center"/>
        <w:rPr>
          <w:rStyle w:val="40"/>
          <w:rFonts w:hint="eastAsia" w:ascii="黑体" w:hAnsi="黑体" w:eastAsia="黑体" w:cs="黑体"/>
          <w:spacing w:val="38"/>
          <w:kern w:val="10"/>
          <w:sz w:val="72"/>
          <w:szCs w:val="84"/>
        </w:rPr>
      </w:pPr>
      <w:r>
        <w:rPr>
          <w:rStyle w:val="40"/>
          <w:rFonts w:hint="eastAsia" w:ascii="黑体" w:hAnsi="黑体" w:eastAsia="黑体" w:cs="黑体"/>
          <w:spacing w:val="38"/>
          <w:kern w:val="10"/>
          <w:sz w:val="72"/>
          <w:szCs w:val="84"/>
        </w:rPr>
        <w:t>标准材料采购招标文件</w:t>
      </w:r>
    </w:p>
    <w:p w14:paraId="64D487C5">
      <w:pPr>
        <w:keepNext w:val="0"/>
        <w:keepLines w:val="0"/>
        <w:pageBreakBefore w:val="0"/>
        <w:widowControl w:val="0"/>
        <w:kinsoku/>
        <w:wordWrap/>
        <w:overflowPunct/>
        <w:topLinePunct w:val="0"/>
        <w:autoSpaceDE/>
        <w:autoSpaceDN/>
        <w:bidi w:val="0"/>
        <w:adjustRightInd/>
        <w:snapToGrid/>
        <w:ind w:firstLine="0"/>
        <w:jc w:val="center"/>
        <w:textAlignment w:val="auto"/>
        <w:rPr>
          <w:sz w:val="44"/>
          <w:szCs w:val="44"/>
        </w:rPr>
      </w:pPr>
      <w:r>
        <w:rPr>
          <w:rFonts w:hint="eastAsia"/>
          <w:sz w:val="44"/>
          <w:szCs w:val="44"/>
          <w:lang w:eastAsia="zh-CN"/>
        </w:rPr>
        <w:t>2025</w:t>
      </w:r>
      <w:r>
        <w:rPr>
          <w:sz w:val="44"/>
          <w:szCs w:val="44"/>
        </w:rPr>
        <w:t>年版</w:t>
      </w:r>
    </w:p>
    <w:p w14:paraId="0202D41B">
      <w:pPr>
        <w:spacing w:line="400" w:lineRule="exact"/>
        <w:jc w:val="center"/>
        <w:rPr>
          <w:rFonts w:ascii="Times New Roman" w:hAnsi="Times New Roman"/>
          <w:color w:val="000000"/>
        </w:rPr>
      </w:pPr>
    </w:p>
    <w:p w14:paraId="5B1B04FF">
      <w:pPr>
        <w:spacing w:line="400" w:lineRule="exact"/>
        <w:jc w:val="center"/>
        <w:rPr>
          <w:rFonts w:ascii="Times New Roman" w:hAnsi="Times New Roman"/>
          <w:color w:val="000000"/>
        </w:rPr>
      </w:pPr>
    </w:p>
    <w:p w14:paraId="63EF4D18">
      <w:pPr>
        <w:spacing w:line="400" w:lineRule="exact"/>
        <w:jc w:val="center"/>
        <w:rPr>
          <w:rFonts w:ascii="Times New Roman" w:hAnsi="Times New Roman"/>
          <w:color w:val="000000"/>
        </w:rPr>
      </w:pPr>
    </w:p>
    <w:p w14:paraId="4B492782">
      <w:pPr>
        <w:spacing w:line="400" w:lineRule="exact"/>
        <w:jc w:val="center"/>
        <w:rPr>
          <w:rFonts w:ascii="Times New Roman" w:hAnsi="Times New Roman"/>
          <w:color w:val="000000"/>
        </w:rPr>
      </w:pPr>
    </w:p>
    <w:p w14:paraId="519B1AA1">
      <w:pPr>
        <w:spacing w:line="400" w:lineRule="exact"/>
        <w:jc w:val="center"/>
        <w:rPr>
          <w:rFonts w:ascii="Times New Roman" w:hAnsi="Times New Roman"/>
          <w:color w:val="000000"/>
        </w:rPr>
      </w:pPr>
    </w:p>
    <w:p w14:paraId="04A773A5">
      <w:pPr>
        <w:spacing w:line="400" w:lineRule="exact"/>
        <w:jc w:val="center"/>
        <w:rPr>
          <w:rFonts w:ascii="Times New Roman" w:hAnsi="Times New Roman"/>
          <w:color w:val="000000"/>
        </w:rPr>
      </w:pPr>
    </w:p>
    <w:p w14:paraId="01DF2936">
      <w:pPr>
        <w:spacing w:line="400" w:lineRule="exact"/>
        <w:jc w:val="center"/>
        <w:rPr>
          <w:rFonts w:ascii="Times New Roman" w:hAnsi="Times New Roman"/>
          <w:color w:val="000000"/>
        </w:rPr>
      </w:pPr>
    </w:p>
    <w:p w14:paraId="798001BB">
      <w:pPr>
        <w:spacing w:line="400" w:lineRule="exact"/>
        <w:jc w:val="center"/>
        <w:rPr>
          <w:rFonts w:ascii="Times New Roman" w:hAnsi="Times New Roman"/>
          <w:color w:val="000000"/>
        </w:rPr>
      </w:pPr>
    </w:p>
    <w:p w14:paraId="4A1BA953">
      <w:pPr>
        <w:spacing w:line="400" w:lineRule="exact"/>
        <w:jc w:val="center"/>
        <w:rPr>
          <w:rFonts w:ascii="Times New Roman" w:hAnsi="Times New Roman"/>
          <w:color w:val="000000"/>
        </w:rPr>
      </w:pPr>
    </w:p>
    <w:p w14:paraId="6458995F">
      <w:pPr>
        <w:spacing w:line="400" w:lineRule="exact"/>
        <w:jc w:val="center"/>
        <w:rPr>
          <w:rFonts w:ascii="Times New Roman" w:hAnsi="Times New Roman"/>
          <w:color w:val="000000"/>
        </w:rPr>
      </w:pPr>
    </w:p>
    <w:p w14:paraId="54FC3F24">
      <w:pPr>
        <w:spacing w:line="400" w:lineRule="exact"/>
        <w:jc w:val="center"/>
        <w:rPr>
          <w:rFonts w:ascii="Times New Roman" w:hAnsi="Times New Roman"/>
          <w:color w:val="000000"/>
        </w:rPr>
      </w:pPr>
    </w:p>
    <w:p w14:paraId="552FF62B">
      <w:pPr>
        <w:spacing w:line="400" w:lineRule="exact"/>
        <w:jc w:val="center"/>
        <w:rPr>
          <w:rFonts w:ascii="Times New Roman" w:hAnsi="Times New Roman"/>
          <w:color w:val="000000"/>
        </w:rPr>
      </w:pPr>
    </w:p>
    <w:p w14:paraId="463F5723">
      <w:pPr>
        <w:spacing w:line="400" w:lineRule="exact"/>
        <w:jc w:val="center"/>
        <w:rPr>
          <w:rFonts w:ascii="Times New Roman" w:hAnsi="Times New Roman"/>
          <w:color w:val="000000"/>
        </w:rPr>
      </w:pPr>
    </w:p>
    <w:p w14:paraId="4B800E36">
      <w:pPr>
        <w:spacing w:line="400" w:lineRule="exact"/>
        <w:jc w:val="center"/>
        <w:rPr>
          <w:rFonts w:ascii="Times New Roman" w:hAnsi="Times New Roman"/>
          <w:color w:val="000000"/>
        </w:rPr>
      </w:pPr>
    </w:p>
    <w:p w14:paraId="08195B4C">
      <w:pPr>
        <w:spacing w:line="400" w:lineRule="exact"/>
        <w:jc w:val="center"/>
        <w:rPr>
          <w:rFonts w:ascii="Times New Roman" w:hAnsi="Times New Roman"/>
          <w:color w:val="000000"/>
        </w:rPr>
      </w:pPr>
      <w:r>
        <w:rPr>
          <w:rFonts w:ascii="Times New Roman" w:hAnsi="Times New Roman"/>
          <w:color w:val="000000"/>
        </w:rPr>
        <w:br w:type="page"/>
      </w:r>
    </w:p>
    <w:p w14:paraId="05CF9B48">
      <w:pPr>
        <w:spacing w:line="500" w:lineRule="exact"/>
        <w:jc w:val="center"/>
        <w:rPr>
          <w:rFonts w:ascii="Times New Roman" w:hAnsi="Times New Roman" w:eastAsia="黑体"/>
          <w:sz w:val="32"/>
          <w:szCs w:val="32"/>
        </w:rPr>
      </w:pPr>
      <w:r>
        <w:rPr>
          <w:rFonts w:ascii="Times New Roman" w:hAnsi="Times New Roman" w:eastAsia="黑体"/>
          <w:sz w:val="32"/>
          <w:szCs w:val="32"/>
        </w:rPr>
        <w:t>使用说明</w:t>
      </w:r>
    </w:p>
    <w:p w14:paraId="6000E5C7">
      <w:pPr>
        <w:spacing w:line="500" w:lineRule="exact"/>
        <w:rPr>
          <w:rFonts w:ascii="Times New Roman" w:hAnsi="Times New Roman"/>
        </w:rPr>
      </w:pPr>
    </w:p>
    <w:p w14:paraId="64B1B48E">
      <w:pPr>
        <w:spacing w:line="500" w:lineRule="exact"/>
        <w:ind w:firstLine="480" w:firstLineChars="200"/>
        <w:rPr>
          <w:rFonts w:ascii="Times New Roman" w:hAnsi="Times New Roman" w:eastAsiaTheme="minorEastAsia"/>
          <w:sz w:val="24"/>
          <w:szCs w:val="24"/>
        </w:rPr>
      </w:pPr>
      <w:r>
        <w:rPr>
          <w:rFonts w:ascii="Times New Roman" w:hAnsi="Times New Roman" w:eastAsiaTheme="minorEastAsia"/>
          <w:sz w:val="24"/>
          <w:szCs w:val="24"/>
        </w:rPr>
        <w:t>一、《标准材料采购招标文件》适用于材料采购招标。</w:t>
      </w:r>
    </w:p>
    <w:p w14:paraId="1F55AB62">
      <w:pPr>
        <w:spacing w:line="500" w:lineRule="exact"/>
        <w:ind w:firstLine="480" w:firstLineChars="200"/>
        <w:rPr>
          <w:rFonts w:ascii="Times New Roman" w:hAnsi="Times New Roman" w:eastAsiaTheme="minorEastAsia"/>
          <w:sz w:val="24"/>
          <w:szCs w:val="24"/>
        </w:rPr>
      </w:pPr>
      <w:r>
        <w:rPr>
          <w:rFonts w:ascii="Times New Roman" w:hAnsi="Times New Roman" w:eastAsiaTheme="minorEastAsia"/>
          <w:sz w:val="24"/>
          <w:szCs w:val="24"/>
        </w:rPr>
        <w:t>二、《标准材料采购招标文件》用相同序号标示的章、节、条、款、项、目，供招标人和投标人选择使用；以空格标示的由招标人填写的内容，招标人应根据招标项目具体特点和实际需要具体化，确实没有需要填写的，在空格中用“/”标示。</w:t>
      </w:r>
    </w:p>
    <w:p w14:paraId="3D2F2627">
      <w:pPr>
        <w:spacing w:line="500" w:lineRule="exact"/>
        <w:ind w:firstLine="480" w:firstLineChars="200"/>
        <w:rPr>
          <w:rFonts w:ascii="Times New Roman" w:hAnsi="Times New Roman" w:eastAsiaTheme="minorEastAsia"/>
          <w:sz w:val="24"/>
          <w:szCs w:val="24"/>
        </w:rPr>
      </w:pPr>
      <w:r>
        <w:rPr>
          <w:rFonts w:ascii="Times New Roman" w:hAnsi="Times New Roman" w:eastAsiaTheme="minorEastAsia"/>
          <w:sz w:val="24"/>
          <w:szCs w:val="24"/>
        </w:rPr>
        <w:t>三、招标人按照《标准材料采购招标文件》第一章的格式发布招标公告或发出投标邀请书后，将实际发布的招标公告或实际发出的投标邀请书编入出售的招标文件中，作为投标邀请。其中，招标公告应同时注明发布所在的所有媒介名称。</w:t>
      </w:r>
    </w:p>
    <w:p w14:paraId="5A39E420">
      <w:pPr>
        <w:spacing w:line="500" w:lineRule="exact"/>
        <w:ind w:firstLine="480" w:firstLineChars="200"/>
        <w:rPr>
          <w:rFonts w:ascii="Times New Roman" w:hAnsi="Times New Roman" w:eastAsiaTheme="minorEastAsia"/>
          <w:sz w:val="24"/>
          <w:szCs w:val="24"/>
        </w:rPr>
      </w:pPr>
      <w:r>
        <w:rPr>
          <w:rFonts w:ascii="Times New Roman" w:hAnsi="Times New Roman" w:eastAsiaTheme="minorEastAsia"/>
          <w:sz w:val="24"/>
          <w:szCs w:val="24"/>
        </w:rPr>
        <w:t>四、《标准材料采购招标文件》第三章“评标办法”分别规定综合评估法和</w:t>
      </w:r>
      <w:r>
        <w:rPr>
          <w:rFonts w:hint="eastAsia" w:ascii="Times New Roman" w:hAnsi="Times New Roman" w:eastAsiaTheme="minorEastAsia"/>
          <w:sz w:val="24"/>
          <w:szCs w:val="24"/>
          <w:lang w:val="en-US" w:eastAsia="zh-CN"/>
        </w:rPr>
        <w:t>定性评审</w:t>
      </w:r>
      <w:r>
        <w:rPr>
          <w:rFonts w:ascii="Times New Roman" w:hAnsi="Times New Roman" w:eastAsiaTheme="minorEastAsia"/>
          <w:sz w:val="24"/>
          <w:szCs w:val="24"/>
        </w:rPr>
        <w:t>法两种评标方法，供招标人根据招标项目具体特点和实际需要选择适用。招标人选择适用综合评估法的，各评审因素的评审标准、分值和权重等由招标人自主确定。国务院有关部门对各评审因素的评审标准、分值和权重等有规定的，从其规定。</w:t>
      </w:r>
    </w:p>
    <w:p w14:paraId="026533F7">
      <w:pPr>
        <w:spacing w:line="500" w:lineRule="exact"/>
        <w:ind w:firstLine="480" w:firstLineChars="200"/>
        <w:rPr>
          <w:rFonts w:ascii="Times New Roman" w:hAnsi="Times New Roman" w:eastAsiaTheme="minorEastAsia"/>
          <w:sz w:val="24"/>
          <w:szCs w:val="24"/>
        </w:rPr>
      </w:pPr>
      <w:r>
        <w:rPr>
          <w:rFonts w:ascii="Times New Roman" w:hAnsi="Times New Roman" w:eastAsiaTheme="minorEastAsia"/>
          <w:sz w:val="24"/>
          <w:szCs w:val="24"/>
        </w:rPr>
        <w:t>第三章“评标办法”前附表应列明全部评审因素和评审标准，并在本章前附表标明投标人不满足要求即否决其投标的全部条款。</w:t>
      </w:r>
    </w:p>
    <w:p w14:paraId="71F8A343">
      <w:pPr>
        <w:spacing w:line="500" w:lineRule="exact"/>
        <w:ind w:firstLine="480" w:firstLineChars="200"/>
        <w:rPr>
          <w:rFonts w:ascii="Times New Roman" w:hAnsi="Times New Roman" w:eastAsiaTheme="minorEastAsia"/>
          <w:sz w:val="24"/>
          <w:szCs w:val="24"/>
        </w:rPr>
      </w:pPr>
      <w:r>
        <w:rPr>
          <w:rFonts w:ascii="Times New Roman" w:hAnsi="Times New Roman" w:eastAsiaTheme="minorEastAsia"/>
          <w:sz w:val="24"/>
          <w:szCs w:val="24"/>
        </w:rPr>
        <w:t>五、《标准材料采购招标文件》</w:t>
      </w:r>
      <w:r>
        <w:rPr>
          <w:rFonts w:hint="eastAsia" w:ascii="Times New Roman" w:hAnsi="Times New Roman" w:eastAsiaTheme="minorEastAsia"/>
          <w:sz w:val="24"/>
          <w:szCs w:val="24"/>
          <w:lang w:eastAsia="zh-CN"/>
        </w:rPr>
        <w:t>第五章“供货要求”</w:t>
      </w:r>
      <w:r>
        <w:rPr>
          <w:rFonts w:ascii="Times New Roman" w:hAnsi="Times New Roman" w:eastAsiaTheme="minorEastAsia"/>
          <w:sz w:val="24"/>
          <w:szCs w:val="24"/>
        </w:rPr>
        <w:t>由招标人根据行业标准</w:t>
      </w:r>
      <w:r>
        <w:rPr>
          <w:rFonts w:ascii="Times New Roman" w:hAnsi="Times New Roman" w:eastAsiaTheme="minorEastAsia"/>
          <w:sz w:val="24"/>
        </w:rPr>
        <w:t>材料采购</w:t>
      </w:r>
      <w:r>
        <w:rPr>
          <w:rFonts w:ascii="Times New Roman" w:hAnsi="Times New Roman" w:eastAsiaTheme="minorEastAsia"/>
          <w:sz w:val="24"/>
          <w:szCs w:val="24"/>
        </w:rPr>
        <w:t>招标文件（如有）、招标项目具体特点和实际需要编制，并与“投标人须知”、“通用合同条款”、“专用合同条款”相衔接。</w:t>
      </w:r>
    </w:p>
    <w:p w14:paraId="2E27F895">
      <w:pPr>
        <w:spacing w:line="500" w:lineRule="exact"/>
        <w:ind w:firstLine="480" w:firstLineChars="200"/>
        <w:rPr>
          <w:rFonts w:ascii="Times New Roman" w:hAnsi="Times New Roman" w:eastAsiaTheme="minorEastAsia"/>
          <w:sz w:val="24"/>
          <w:szCs w:val="24"/>
        </w:rPr>
      </w:pPr>
      <w:r>
        <w:rPr>
          <w:rFonts w:ascii="Times New Roman" w:hAnsi="Times New Roman" w:eastAsiaTheme="minorEastAsia"/>
          <w:sz w:val="24"/>
          <w:szCs w:val="24"/>
        </w:rPr>
        <w:t>六、采用电子招标投标的，招标人应按照国家有关规定，结合项目具体情况，在招标文件中载明相应要求。</w:t>
      </w:r>
    </w:p>
    <w:p w14:paraId="02A3067B">
      <w:pPr>
        <w:spacing w:line="500" w:lineRule="exact"/>
        <w:ind w:firstLine="480" w:firstLineChars="200"/>
        <w:rPr>
          <w:rFonts w:ascii="Times New Roman" w:hAnsi="Times New Roman" w:eastAsiaTheme="minorEastAsia"/>
          <w:sz w:val="24"/>
          <w:szCs w:val="24"/>
        </w:rPr>
      </w:pPr>
      <w:r>
        <w:rPr>
          <w:rFonts w:ascii="Times New Roman" w:hAnsi="Times New Roman" w:eastAsiaTheme="minorEastAsia"/>
          <w:sz w:val="24"/>
          <w:szCs w:val="24"/>
        </w:rPr>
        <w:t>七、《标准材料采购招标文件》为</w:t>
      </w:r>
      <w:r>
        <w:rPr>
          <w:rFonts w:hint="eastAsia" w:ascii="Times New Roman" w:hAnsi="Times New Roman" w:eastAsiaTheme="minorEastAsia"/>
          <w:sz w:val="24"/>
          <w:szCs w:val="24"/>
          <w:lang w:eastAsia="zh-CN"/>
        </w:rPr>
        <w:t>2025</w:t>
      </w:r>
      <w:r>
        <w:rPr>
          <w:rFonts w:ascii="Times New Roman" w:hAnsi="Times New Roman" w:eastAsiaTheme="minorEastAsia"/>
          <w:sz w:val="24"/>
          <w:szCs w:val="24"/>
        </w:rPr>
        <w:t>年版，将根据实际执行过程中出现的问题及时进行修改。</w:t>
      </w:r>
    </w:p>
    <w:p w14:paraId="6B2B5440">
      <w:pPr>
        <w:pStyle w:val="6"/>
        <w:spacing w:line="400" w:lineRule="exact"/>
        <w:ind w:firstLine="560"/>
        <w:rPr>
          <w:rFonts w:ascii="Times New Roman" w:hAnsi="Times New Roman"/>
          <w:color w:val="000000"/>
          <w:sz w:val="20"/>
        </w:rPr>
      </w:pPr>
    </w:p>
    <w:p w14:paraId="1334A32A">
      <w:pPr>
        <w:spacing w:line="400" w:lineRule="exact"/>
        <w:rPr>
          <w:rFonts w:ascii="Times New Roman" w:hAnsi="Times New Roman"/>
          <w:color w:val="000000"/>
        </w:rPr>
      </w:pPr>
    </w:p>
    <w:p w14:paraId="2A7C1755">
      <w:pPr>
        <w:spacing w:line="400" w:lineRule="exact"/>
        <w:rPr>
          <w:rFonts w:ascii="Times New Roman" w:hAnsi="Times New Roman"/>
          <w:color w:val="000000"/>
        </w:rPr>
      </w:pPr>
    </w:p>
    <w:p w14:paraId="09FFA2BC">
      <w:pPr>
        <w:spacing w:line="400" w:lineRule="exact"/>
        <w:rPr>
          <w:rFonts w:ascii="Times New Roman" w:hAnsi="Times New Roman"/>
          <w:color w:val="000000"/>
        </w:rPr>
      </w:pPr>
    </w:p>
    <w:p w14:paraId="653281B1">
      <w:pPr>
        <w:spacing w:line="540" w:lineRule="exact"/>
        <w:ind w:firstLine="437"/>
        <w:rPr>
          <w:rFonts w:hint="eastAsia" w:ascii="仿宋_GB2312" w:eastAsia="仿宋_GB2312"/>
          <w:sz w:val="28"/>
          <w:szCs w:val="28"/>
        </w:rPr>
      </w:pPr>
      <w:bookmarkStart w:id="0" w:name="_Toc152045511"/>
      <w:bookmarkStart w:id="1" w:name="_Toc144974479"/>
      <w:bookmarkStart w:id="2" w:name="_Toc152042287"/>
    </w:p>
    <w:p w14:paraId="00941024">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eastAsia="仿宋_GB2312"/>
          <w:sz w:val="28"/>
          <w:szCs w:val="28"/>
          <w:lang w:val="en-US" w:eastAsia="zh-CN"/>
        </w:rPr>
      </w:pPr>
      <w:r>
        <w:rPr>
          <w:rFonts w:hint="eastAsia" w:ascii="黑体" w:hAnsi="宋体" w:eastAsia="黑体" w:cs="Times New Roman"/>
          <w:sz w:val="32"/>
          <w:szCs w:val="32"/>
          <w:lang w:val="en-US" w:eastAsia="zh-CN"/>
        </w:rPr>
        <w:t>标段名称：</w:t>
      </w:r>
      <w:r>
        <w:rPr>
          <w:rFonts w:hint="eastAsia" w:ascii="宋体" w:hAnsi="宋体"/>
          <w:sz w:val="32"/>
          <w:szCs w:val="32"/>
          <w:u w:val="single"/>
        </w:rPr>
        <w:t xml:space="preserve">        </w:t>
      </w:r>
      <w:r>
        <w:rPr>
          <w:rFonts w:hint="eastAsia" w:ascii="宋体" w:hAnsi="宋体"/>
          <w:sz w:val="32"/>
          <w:szCs w:val="32"/>
          <w:u w:val="single"/>
          <w:lang w:val="en-US" w:eastAsia="zh-CN"/>
        </w:rPr>
        <w:t xml:space="preserve">                 </w:t>
      </w:r>
      <w:r>
        <w:rPr>
          <w:rFonts w:hint="eastAsia" w:ascii="宋体" w:hAnsi="宋体"/>
          <w:sz w:val="32"/>
          <w:szCs w:val="32"/>
          <w:u w:val="single"/>
        </w:rPr>
        <w:t xml:space="preserve">     </w:t>
      </w:r>
      <w:r>
        <w:rPr>
          <w:rFonts w:hint="eastAsia" w:ascii="宋体" w:hAnsi="宋体"/>
          <w:sz w:val="32"/>
          <w:szCs w:val="32"/>
          <w:u w:val="single"/>
          <w:lang w:val="en-US" w:eastAsia="zh-CN"/>
        </w:rPr>
        <w:t xml:space="preserve">  </w:t>
      </w:r>
      <w:r>
        <w:rPr>
          <w:rFonts w:hint="eastAsia" w:ascii="宋体" w:hAnsi="宋体"/>
          <w:sz w:val="32"/>
          <w:szCs w:val="32"/>
          <w:u w:val="single"/>
        </w:rPr>
        <w:t xml:space="preserve">   </w:t>
      </w:r>
    </w:p>
    <w:p w14:paraId="7BE36A7A">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仿宋_GB2312" w:eastAsia="仿宋_GB2312"/>
          <w:sz w:val="28"/>
          <w:szCs w:val="28"/>
          <w:lang w:val="en-US" w:eastAsia="zh-CN"/>
        </w:rPr>
      </w:pPr>
      <w:r>
        <w:rPr>
          <w:rFonts w:hint="eastAsia" w:ascii="黑体" w:hAnsi="宋体" w:eastAsia="黑体" w:cs="Times New Roman"/>
          <w:sz w:val="32"/>
          <w:szCs w:val="32"/>
          <w:lang w:val="en-US" w:eastAsia="zh-CN"/>
        </w:rPr>
        <w:t>标段编号：</w:t>
      </w:r>
      <w:r>
        <w:rPr>
          <w:rFonts w:hint="eastAsia" w:ascii="宋体" w:hAnsi="宋体"/>
          <w:sz w:val="32"/>
          <w:szCs w:val="32"/>
          <w:u w:val="single"/>
        </w:rPr>
        <w:t xml:space="preserve">        </w:t>
      </w:r>
      <w:r>
        <w:rPr>
          <w:rFonts w:hint="eastAsia" w:ascii="宋体" w:hAnsi="宋体"/>
          <w:sz w:val="32"/>
          <w:szCs w:val="32"/>
          <w:u w:val="single"/>
          <w:lang w:val="en-US" w:eastAsia="zh-CN"/>
        </w:rPr>
        <w:t xml:space="preserve">                   </w:t>
      </w:r>
      <w:r>
        <w:rPr>
          <w:rFonts w:hint="eastAsia" w:ascii="宋体" w:hAnsi="宋体"/>
          <w:sz w:val="32"/>
          <w:szCs w:val="32"/>
          <w:u w:val="single"/>
        </w:rPr>
        <w:t xml:space="preserve">        </w:t>
      </w:r>
    </w:p>
    <w:p w14:paraId="502A3FA9">
      <w:pPr>
        <w:spacing w:line="540" w:lineRule="exact"/>
        <w:ind w:firstLine="437"/>
        <w:rPr>
          <w:rFonts w:hint="eastAsia" w:ascii="仿宋_GB2312" w:eastAsia="仿宋_GB2312"/>
          <w:sz w:val="28"/>
          <w:szCs w:val="28"/>
        </w:rPr>
      </w:pPr>
    </w:p>
    <w:p w14:paraId="0D0EB592">
      <w:pPr>
        <w:spacing w:line="460" w:lineRule="exact"/>
        <w:ind w:firstLine="437"/>
        <w:rPr>
          <w:rFonts w:hint="eastAsia" w:ascii="宋体" w:hAnsi="宋体"/>
          <w:szCs w:val="21"/>
        </w:rPr>
      </w:pPr>
    </w:p>
    <w:p w14:paraId="5FD636FB">
      <w:pPr>
        <w:spacing w:line="540" w:lineRule="exact"/>
        <w:rPr>
          <w:rFonts w:hint="eastAsia" w:ascii="宋体" w:hAnsi="宋体"/>
          <w:szCs w:val="21"/>
        </w:rPr>
      </w:pPr>
    </w:p>
    <w:p w14:paraId="0F1C015A">
      <w:pPr>
        <w:spacing w:line="540" w:lineRule="exact"/>
        <w:rPr>
          <w:rFonts w:hint="eastAsia" w:ascii="宋体" w:hAnsi="宋体"/>
          <w:szCs w:val="21"/>
        </w:rPr>
      </w:pPr>
    </w:p>
    <w:p w14:paraId="2ECC6792">
      <w:pPr>
        <w:spacing w:line="540" w:lineRule="exact"/>
        <w:rPr>
          <w:rFonts w:hint="eastAsia" w:ascii="宋体" w:hAnsi="宋体"/>
          <w:szCs w:val="21"/>
        </w:rPr>
      </w:pPr>
    </w:p>
    <w:p w14:paraId="37CDA593">
      <w:pPr>
        <w:jc w:val="center"/>
        <w:rPr>
          <w:rFonts w:hint="eastAsia" w:ascii="黑体" w:hAnsi="宋体" w:eastAsia="黑体"/>
          <w:sz w:val="72"/>
          <w:szCs w:val="72"/>
        </w:rPr>
      </w:pPr>
      <w:r>
        <w:rPr>
          <w:rFonts w:hint="eastAsia" w:ascii="黑体" w:hAnsi="宋体" w:eastAsia="黑体"/>
          <w:sz w:val="72"/>
          <w:szCs w:val="72"/>
        </w:rPr>
        <w:t>招 标 文 件</w:t>
      </w:r>
    </w:p>
    <w:p w14:paraId="38CE48B0">
      <w:pPr>
        <w:spacing w:line="540" w:lineRule="exact"/>
        <w:ind w:firstLine="437"/>
        <w:rPr>
          <w:rFonts w:hint="eastAsia" w:ascii="宋体" w:hAnsi="宋体"/>
          <w:szCs w:val="21"/>
        </w:rPr>
      </w:pPr>
    </w:p>
    <w:p w14:paraId="1D093712">
      <w:pPr>
        <w:spacing w:line="540" w:lineRule="exact"/>
        <w:ind w:firstLine="437"/>
        <w:rPr>
          <w:rFonts w:hint="eastAsia" w:ascii="宋体" w:hAnsi="宋体"/>
          <w:szCs w:val="21"/>
        </w:rPr>
      </w:pPr>
    </w:p>
    <w:p w14:paraId="635580A5">
      <w:pPr>
        <w:spacing w:line="540" w:lineRule="exact"/>
        <w:ind w:firstLine="437"/>
        <w:rPr>
          <w:rFonts w:hint="eastAsia" w:ascii="宋体" w:hAnsi="宋体"/>
          <w:szCs w:val="21"/>
        </w:rPr>
      </w:pPr>
    </w:p>
    <w:p w14:paraId="19049FB2">
      <w:pPr>
        <w:spacing w:line="540" w:lineRule="exact"/>
        <w:ind w:firstLine="437"/>
        <w:rPr>
          <w:rFonts w:hint="eastAsia" w:ascii="宋体" w:hAnsi="宋体"/>
          <w:szCs w:val="21"/>
        </w:rPr>
      </w:pPr>
    </w:p>
    <w:p w14:paraId="2CD97CF2">
      <w:pPr>
        <w:spacing w:line="540" w:lineRule="exact"/>
        <w:ind w:firstLine="437"/>
        <w:rPr>
          <w:rFonts w:hint="eastAsia" w:ascii="宋体" w:hAnsi="宋体"/>
          <w:szCs w:val="21"/>
        </w:rPr>
      </w:pPr>
    </w:p>
    <w:p w14:paraId="399FD12A">
      <w:pPr>
        <w:spacing w:line="540" w:lineRule="exact"/>
        <w:ind w:firstLine="437"/>
        <w:rPr>
          <w:rFonts w:hint="eastAsia" w:ascii="宋体" w:hAnsi="宋体"/>
          <w:szCs w:val="21"/>
        </w:rPr>
      </w:pPr>
    </w:p>
    <w:p w14:paraId="1020706B">
      <w:pPr>
        <w:spacing w:line="540" w:lineRule="exact"/>
        <w:ind w:firstLine="437"/>
        <w:rPr>
          <w:rFonts w:hint="eastAsia" w:ascii="宋体" w:hAnsi="宋体"/>
          <w:szCs w:val="21"/>
        </w:rPr>
      </w:pPr>
    </w:p>
    <w:p w14:paraId="52DF9C1F">
      <w:pPr>
        <w:spacing w:line="540" w:lineRule="exact"/>
        <w:ind w:firstLine="437"/>
        <w:rPr>
          <w:rFonts w:hint="eastAsia" w:ascii="宋体" w:hAnsi="宋体"/>
          <w:szCs w:val="21"/>
        </w:rPr>
      </w:pPr>
    </w:p>
    <w:p w14:paraId="3BD0A612">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宋体" w:hAnsi="宋体"/>
          <w:sz w:val="32"/>
          <w:szCs w:val="32"/>
        </w:rPr>
      </w:pPr>
      <w:r>
        <w:rPr>
          <w:rFonts w:hint="eastAsia" w:ascii="黑体" w:hAnsi="宋体" w:eastAsia="黑体"/>
          <w:sz w:val="32"/>
          <w:szCs w:val="32"/>
        </w:rPr>
        <w:t>招 标 人：</w:t>
      </w:r>
      <w:r>
        <w:rPr>
          <w:rFonts w:hint="eastAsia" w:ascii="黑体" w:hAnsi="宋体" w:eastAsia="黑体"/>
          <w:sz w:val="32"/>
          <w:szCs w:val="32"/>
          <w:u w:val="single"/>
        </w:rPr>
        <w:t xml:space="preserve">                         </w:t>
      </w:r>
      <w:r>
        <w:rPr>
          <w:rFonts w:hint="eastAsia" w:ascii="宋体" w:hAnsi="宋体"/>
          <w:sz w:val="32"/>
          <w:szCs w:val="32"/>
        </w:rPr>
        <w:t>（盖单位章）</w:t>
      </w:r>
    </w:p>
    <w:p w14:paraId="3501B6F1">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宋体" w:hAnsi="宋体" w:eastAsia="宋体"/>
          <w:sz w:val="32"/>
          <w:szCs w:val="32"/>
          <w:lang w:val="en-US" w:eastAsia="zh-CN"/>
        </w:rPr>
      </w:pPr>
      <w:r>
        <w:rPr>
          <w:rFonts w:hint="eastAsia" w:ascii="黑体" w:hAnsi="宋体" w:eastAsia="黑体" w:cs="Times New Roman"/>
          <w:sz w:val="32"/>
          <w:szCs w:val="32"/>
          <w:lang w:val="en-US" w:eastAsia="zh-CN"/>
        </w:rPr>
        <w:t>招标代理：</w:t>
      </w:r>
      <w:r>
        <w:rPr>
          <w:rFonts w:hint="eastAsia" w:ascii="黑体" w:hAnsi="宋体" w:eastAsia="黑体"/>
          <w:sz w:val="32"/>
          <w:szCs w:val="32"/>
          <w:u w:val="single"/>
        </w:rPr>
        <w:t xml:space="preserve">                         </w:t>
      </w:r>
      <w:r>
        <w:rPr>
          <w:rFonts w:hint="eastAsia" w:ascii="宋体" w:hAnsi="宋体"/>
          <w:sz w:val="32"/>
          <w:szCs w:val="32"/>
        </w:rPr>
        <w:t>（盖单位章）</w:t>
      </w:r>
    </w:p>
    <w:p w14:paraId="4BA76898">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ascii="宋体" w:hAnsi="宋体"/>
          <w:b/>
          <w:sz w:val="52"/>
          <w:szCs w:val="52"/>
        </w:rPr>
      </w:pPr>
      <w:r>
        <w:rPr>
          <w:rFonts w:hint="eastAsia" w:ascii="黑体" w:hAnsi="宋体" w:eastAsia="黑体" w:cs="Times New Roman"/>
          <w:sz w:val="32"/>
          <w:szCs w:val="32"/>
        </w:rPr>
        <w:t>日    期：</w:t>
      </w:r>
      <w:r>
        <w:rPr>
          <w:rFonts w:hint="eastAsia" w:ascii="黑体" w:hAnsi="宋体" w:eastAsia="黑体"/>
          <w:sz w:val="32"/>
          <w:szCs w:val="32"/>
          <w:u w:val="single"/>
        </w:rPr>
        <w:t xml:space="preserve">           </w:t>
      </w:r>
      <w:r>
        <w:rPr>
          <w:rFonts w:hint="eastAsia" w:ascii="宋体" w:hAnsi="宋体"/>
          <w:sz w:val="32"/>
          <w:szCs w:val="32"/>
        </w:rPr>
        <w:t>年</w:t>
      </w:r>
      <w:r>
        <w:rPr>
          <w:rFonts w:hint="eastAsia" w:ascii="黑体" w:hAnsi="宋体" w:eastAsia="黑体"/>
          <w:sz w:val="32"/>
          <w:szCs w:val="32"/>
          <w:u w:val="single"/>
        </w:rPr>
        <w:t xml:space="preserve">         </w:t>
      </w:r>
      <w:r>
        <w:rPr>
          <w:rFonts w:hint="eastAsia" w:ascii="宋体" w:hAnsi="宋体"/>
          <w:sz w:val="32"/>
          <w:szCs w:val="32"/>
        </w:rPr>
        <w:t>月</w:t>
      </w:r>
      <w:r>
        <w:rPr>
          <w:rFonts w:hint="eastAsia" w:ascii="黑体" w:hAnsi="宋体" w:eastAsia="黑体"/>
          <w:sz w:val="32"/>
          <w:szCs w:val="32"/>
          <w:u w:val="single"/>
        </w:rPr>
        <w:t xml:space="preserve">         </w:t>
      </w:r>
      <w:r>
        <w:rPr>
          <w:rFonts w:hint="eastAsia" w:ascii="宋体" w:hAnsi="宋体"/>
          <w:sz w:val="32"/>
          <w:szCs w:val="32"/>
        </w:rPr>
        <w:t>日</w:t>
      </w:r>
    </w:p>
    <w:p w14:paraId="65FDDFFD">
      <w:pPr>
        <w:pStyle w:val="37"/>
        <w:jc w:val="center"/>
        <w:rPr>
          <w:rFonts w:ascii="Times New Roman" w:hAnsi="Times New Roman" w:eastAsia="黑体"/>
          <w:b w:val="0"/>
          <w:color w:val="auto"/>
        </w:rPr>
      </w:pPr>
      <w:r>
        <w:rPr>
          <w:rFonts w:hint="eastAsia" w:ascii="宋体" w:hAnsi="宋体"/>
          <w:b/>
          <w:color w:val="auto"/>
          <w:sz w:val="22"/>
          <w:szCs w:val="22"/>
        </w:rPr>
        <w:t>呼和浩特</w:t>
      </w:r>
      <w:r>
        <w:rPr>
          <w:rFonts w:hint="eastAsia" w:ascii="宋体" w:hAnsi="宋体"/>
          <w:b/>
          <w:color w:val="auto"/>
          <w:sz w:val="22"/>
          <w:szCs w:val="22"/>
          <w:lang w:val="en-US" w:eastAsia="zh-CN"/>
        </w:rPr>
        <w:t>市标准材料采购招标文件2025</w:t>
      </w:r>
      <w:r>
        <w:rPr>
          <w:rFonts w:ascii="宋体" w:hAnsi="宋体"/>
          <w:b/>
          <w:color w:val="auto"/>
          <w:sz w:val="52"/>
          <w:szCs w:val="52"/>
        </w:rPr>
        <w:br w:type="page"/>
      </w:r>
      <w:r>
        <w:rPr>
          <w:rFonts w:ascii="Times New Roman" w:hAnsi="Times New Roman" w:eastAsia="黑体"/>
          <w:b w:val="0"/>
          <w:color w:val="auto"/>
          <w:lang w:val="zh-CN"/>
        </w:rPr>
        <w:t>目  录</w:t>
      </w:r>
    </w:p>
    <w:p w14:paraId="63A359A3">
      <w:pPr>
        <w:pStyle w:val="18"/>
        <w:tabs>
          <w:tab w:val="right" w:leader="dot" w:pos="8630"/>
        </w:tabs>
        <w:jc w:val="center"/>
        <w:rPr>
          <w:rFonts w:ascii="Times New Roman" w:hAnsi="Times New Roman"/>
        </w:rPr>
      </w:pPr>
    </w:p>
    <w:p w14:paraId="5FEE29EE">
      <w:pPr>
        <w:pStyle w:val="18"/>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TOC \o "1-3" \h \z \u </w:instrText>
      </w:r>
      <w:r>
        <w:rPr>
          <w:rFonts w:hint="eastAsia" w:ascii="黑体" w:hAnsi="黑体" w:eastAsia="黑体" w:cs="黑体"/>
        </w:rPr>
        <w:fldChar w:fldCharType="separate"/>
      </w:r>
      <w:r>
        <w:rPr>
          <w:rFonts w:hint="eastAsia" w:ascii="黑体" w:hAnsi="黑体" w:eastAsia="黑体" w:cs="黑体"/>
        </w:rPr>
        <w:fldChar w:fldCharType="begin"/>
      </w:r>
      <w:r>
        <w:rPr>
          <w:rFonts w:hint="eastAsia" w:ascii="黑体" w:hAnsi="黑体" w:eastAsia="黑体" w:cs="黑体"/>
        </w:rPr>
        <w:instrText xml:space="preserve"> HYPERLINK \l _Toc8514 </w:instrText>
      </w:r>
      <w:r>
        <w:rPr>
          <w:rFonts w:hint="eastAsia" w:ascii="黑体" w:hAnsi="黑体" w:eastAsia="黑体" w:cs="黑体"/>
        </w:rPr>
        <w:fldChar w:fldCharType="separate"/>
      </w:r>
      <w:r>
        <w:rPr>
          <w:rFonts w:hint="eastAsia" w:ascii="黑体" w:hAnsi="黑体" w:eastAsia="黑体" w:cs="黑体"/>
          <w:szCs w:val="32"/>
        </w:rPr>
        <w:t>第一章  招标公告</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_Toc8514 \h </w:instrText>
      </w:r>
      <w:r>
        <w:rPr>
          <w:rFonts w:hint="eastAsia" w:ascii="黑体" w:hAnsi="黑体" w:eastAsia="黑体" w:cs="黑体"/>
        </w:rPr>
        <w:fldChar w:fldCharType="separate"/>
      </w:r>
      <w:r>
        <w:rPr>
          <w:rFonts w:hint="eastAsia" w:ascii="黑体" w:hAnsi="黑体" w:eastAsia="黑体" w:cs="黑体"/>
        </w:rPr>
        <w:t>6</w:t>
      </w:r>
      <w:r>
        <w:rPr>
          <w:rFonts w:hint="eastAsia" w:ascii="黑体" w:hAnsi="黑体" w:eastAsia="黑体" w:cs="黑体"/>
        </w:rPr>
        <w:fldChar w:fldCharType="end"/>
      </w:r>
      <w:r>
        <w:rPr>
          <w:rFonts w:hint="eastAsia" w:ascii="黑体" w:hAnsi="黑体" w:eastAsia="黑体" w:cs="黑体"/>
        </w:rPr>
        <w:fldChar w:fldCharType="end"/>
      </w:r>
    </w:p>
    <w:p w14:paraId="15E4D715">
      <w:pPr>
        <w:pStyle w:val="18"/>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_Toc7889 </w:instrText>
      </w:r>
      <w:r>
        <w:rPr>
          <w:rFonts w:hint="eastAsia" w:ascii="黑体" w:hAnsi="黑体" w:eastAsia="黑体" w:cs="黑体"/>
        </w:rPr>
        <w:fldChar w:fldCharType="separate"/>
      </w:r>
      <w:r>
        <w:rPr>
          <w:rFonts w:hint="eastAsia" w:ascii="黑体" w:hAnsi="黑体" w:eastAsia="黑体" w:cs="黑体"/>
        </w:rPr>
        <w:t>第二章投标人须知</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_Toc7889 \h </w:instrText>
      </w:r>
      <w:r>
        <w:rPr>
          <w:rFonts w:hint="eastAsia" w:ascii="黑体" w:hAnsi="黑体" w:eastAsia="黑体" w:cs="黑体"/>
        </w:rPr>
        <w:fldChar w:fldCharType="separate"/>
      </w:r>
      <w:r>
        <w:rPr>
          <w:rFonts w:hint="eastAsia" w:ascii="黑体" w:hAnsi="黑体" w:eastAsia="黑体" w:cs="黑体"/>
        </w:rPr>
        <w:t>8</w:t>
      </w:r>
      <w:r>
        <w:rPr>
          <w:rFonts w:hint="eastAsia" w:ascii="黑体" w:hAnsi="黑体" w:eastAsia="黑体" w:cs="黑体"/>
        </w:rPr>
        <w:fldChar w:fldCharType="end"/>
      </w:r>
      <w:r>
        <w:rPr>
          <w:rFonts w:hint="eastAsia" w:ascii="黑体" w:hAnsi="黑体" w:eastAsia="黑体" w:cs="黑体"/>
        </w:rPr>
        <w:fldChar w:fldCharType="end"/>
      </w:r>
    </w:p>
    <w:p w14:paraId="50BC4BF2">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_Toc12109 </w:instrText>
      </w:r>
      <w:r>
        <w:rPr>
          <w:rFonts w:hint="eastAsia" w:ascii="黑体" w:hAnsi="黑体" w:eastAsia="黑体" w:cs="黑体"/>
        </w:rPr>
        <w:fldChar w:fldCharType="separate"/>
      </w:r>
      <w:r>
        <w:rPr>
          <w:rFonts w:hint="eastAsia" w:ascii="黑体" w:hAnsi="黑体" w:eastAsia="黑体" w:cs="黑体"/>
        </w:rPr>
        <w:t>投标人须知前附表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_Toc12109 \h </w:instrText>
      </w:r>
      <w:r>
        <w:rPr>
          <w:rFonts w:hint="eastAsia" w:ascii="黑体" w:hAnsi="黑体" w:eastAsia="黑体" w:cs="黑体"/>
        </w:rPr>
        <w:fldChar w:fldCharType="separate"/>
      </w:r>
      <w:r>
        <w:rPr>
          <w:rFonts w:hint="eastAsia" w:ascii="黑体" w:hAnsi="黑体" w:eastAsia="黑体" w:cs="黑体"/>
        </w:rPr>
        <w:t>8</w:t>
      </w:r>
      <w:r>
        <w:rPr>
          <w:rFonts w:hint="eastAsia" w:ascii="黑体" w:hAnsi="黑体" w:eastAsia="黑体" w:cs="黑体"/>
        </w:rPr>
        <w:fldChar w:fldCharType="end"/>
      </w:r>
      <w:r>
        <w:rPr>
          <w:rFonts w:hint="eastAsia" w:ascii="黑体" w:hAnsi="黑体" w:eastAsia="黑体" w:cs="黑体"/>
        </w:rPr>
        <w:fldChar w:fldCharType="end"/>
      </w:r>
    </w:p>
    <w:p w14:paraId="7A383FA4">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_Toc31376 </w:instrText>
      </w:r>
      <w:r>
        <w:rPr>
          <w:rFonts w:hint="eastAsia" w:ascii="黑体" w:hAnsi="黑体" w:eastAsia="黑体" w:cs="黑体"/>
        </w:rPr>
        <w:fldChar w:fldCharType="separate"/>
      </w:r>
      <w:r>
        <w:rPr>
          <w:rFonts w:hint="eastAsia" w:ascii="黑体" w:hAnsi="黑体" w:eastAsia="黑体" w:cs="黑体"/>
        </w:rPr>
        <w:t>1. 总则</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_Toc31376 \h </w:instrText>
      </w:r>
      <w:r>
        <w:rPr>
          <w:rFonts w:hint="eastAsia" w:ascii="黑体" w:hAnsi="黑体" w:eastAsia="黑体" w:cs="黑体"/>
        </w:rPr>
        <w:fldChar w:fldCharType="separate"/>
      </w:r>
      <w:r>
        <w:rPr>
          <w:rFonts w:hint="eastAsia" w:ascii="黑体" w:hAnsi="黑体" w:eastAsia="黑体" w:cs="黑体"/>
        </w:rPr>
        <w:t>15</w:t>
      </w:r>
      <w:r>
        <w:rPr>
          <w:rFonts w:hint="eastAsia" w:ascii="黑体" w:hAnsi="黑体" w:eastAsia="黑体" w:cs="黑体"/>
        </w:rPr>
        <w:fldChar w:fldCharType="end"/>
      </w:r>
      <w:r>
        <w:rPr>
          <w:rFonts w:hint="eastAsia" w:ascii="黑体" w:hAnsi="黑体" w:eastAsia="黑体" w:cs="黑体"/>
        </w:rPr>
        <w:fldChar w:fldCharType="end"/>
      </w:r>
    </w:p>
    <w:p w14:paraId="7EA97068">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_Toc6675 </w:instrText>
      </w:r>
      <w:r>
        <w:rPr>
          <w:rFonts w:hint="eastAsia" w:ascii="黑体" w:hAnsi="黑体" w:eastAsia="黑体" w:cs="黑体"/>
        </w:rPr>
        <w:fldChar w:fldCharType="separate"/>
      </w:r>
      <w:r>
        <w:rPr>
          <w:rFonts w:hint="eastAsia" w:ascii="黑体" w:hAnsi="黑体" w:eastAsia="黑体" w:cs="黑体"/>
        </w:rPr>
        <w:t>1.1 招标项目概况</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_Toc6675 \h </w:instrText>
      </w:r>
      <w:r>
        <w:rPr>
          <w:rFonts w:hint="eastAsia" w:ascii="黑体" w:hAnsi="黑体" w:eastAsia="黑体" w:cs="黑体"/>
        </w:rPr>
        <w:fldChar w:fldCharType="separate"/>
      </w:r>
      <w:r>
        <w:rPr>
          <w:rFonts w:hint="eastAsia" w:ascii="黑体" w:hAnsi="黑体" w:eastAsia="黑体" w:cs="黑体"/>
        </w:rPr>
        <w:t>15</w:t>
      </w:r>
      <w:r>
        <w:rPr>
          <w:rFonts w:hint="eastAsia" w:ascii="黑体" w:hAnsi="黑体" w:eastAsia="黑体" w:cs="黑体"/>
        </w:rPr>
        <w:fldChar w:fldCharType="end"/>
      </w:r>
      <w:r>
        <w:rPr>
          <w:rFonts w:hint="eastAsia" w:ascii="黑体" w:hAnsi="黑体" w:eastAsia="黑体" w:cs="黑体"/>
        </w:rPr>
        <w:fldChar w:fldCharType="end"/>
      </w:r>
    </w:p>
    <w:p w14:paraId="41C7E41B">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_Toc4442 </w:instrText>
      </w:r>
      <w:r>
        <w:rPr>
          <w:rFonts w:hint="eastAsia" w:ascii="黑体" w:hAnsi="黑体" w:eastAsia="黑体" w:cs="黑体"/>
        </w:rPr>
        <w:fldChar w:fldCharType="separate"/>
      </w:r>
      <w:r>
        <w:rPr>
          <w:rFonts w:hint="eastAsia" w:ascii="黑体" w:hAnsi="黑体" w:eastAsia="黑体" w:cs="黑体"/>
        </w:rPr>
        <w:t>1.2 招标项目的资金来源和落实情况</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_Toc4442 \h </w:instrText>
      </w:r>
      <w:r>
        <w:rPr>
          <w:rFonts w:hint="eastAsia" w:ascii="黑体" w:hAnsi="黑体" w:eastAsia="黑体" w:cs="黑体"/>
        </w:rPr>
        <w:fldChar w:fldCharType="separate"/>
      </w:r>
      <w:r>
        <w:rPr>
          <w:rFonts w:hint="eastAsia" w:ascii="黑体" w:hAnsi="黑体" w:eastAsia="黑体" w:cs="黑体"/>
        </w:rPr>
        <w:t>15</w:t>
      </w:r>
      <w:r>
        <w:rPr>
          <w:rFonts w:hint="eastAsia" w:ascii="黑体" w:hAnsi="黑体" w:eastAsia="黑体" w:cs="黑体"/>
        </w:rPr>
        <w:fldChar w:fldCharType="end"/>
      </w:r>
      <w:r>
        <w:rPr>
          <w:rFonts w:hint="eastAsia" w:ascii="黑体" w:hAnsi="黑体" w:eastAsia="黑体" w:cs="黑体"/>
        </w:rPr>
        <w:fldChar w:fldCharType="end"/>
      </w:r>
    </w:p>
    <w:p w14:paraId="64D843E4">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_Toc23812 </w:instrText>
      </w:r>
      <w:r>
        <w:rPr>
          <w:rFonts w:hint="eastAsia" w:ascii="黑体" w:hAnsi="黑体" w:eastAsia="黑体" w:cs="黑体"/>
        </w:rPr>
        <w:fldChar w:fldCharType="separate"/>
      </w:r>
      <w:r>
        <w:rPr>
          <w:rFonts w:hint="eastAsia" w:ascii="黑体" w:hAnsi="黑体" w:eastAsia="黑体" w:cs="黑体"/>
        </w:rPr>
        <w:t>1.3招标范围、交货期、交货地点和质量标准</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_Toc23812 \h </w:instrText>
      </w:r>
      <w:r>
        <w:rPr>
          <w:rFonts w:hint="eastAsia" w:ascii="黑体" w:hAnsi="黑体" w:eastAsia="黑体" w:cs="黑体"/>
        </w:rPr>
        <w:fldChar w:fldCharType="separate"/>
      </w:r>
      <w:r>
        <w:rPr>
          <w:rFonts w:hint="eastAsia" w:ascii="黑体" w:hAnsi="黑体" w:eastAsia="黑体" w:cs="黑体"/>
        </w:rPr>
        <w:t>15</w:t>
      </w:r>
      <w:r>
        <w:rPr>
          <w:rFonts w:hint="eastAsia" w:ascii="黑体" w:hAnsi="黑体" w:eastAsia="黑体" w:cs="黑体"/>
        </w:rPr>
        <w:fldChar w:fldCharType="end"/>
      </w:r>
      <w:r>
        <w:rPr>
          <w:rFonts w:hint="eastAsia" w:ascii="黑体" w:hAnsi="黑体" w:eastAsia="黑体" w:cs="黑体"/>
        </w:rPr>
        <w:fldChar w:fldCharType="end"/>
      </w:r>
    </w:p>
    <w:p w14:paraId="2014D482">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_Toc3254 </w:instrText>
      </w:r>
      <w:r>
        <w:rPr>
          <w:rFonts w:hint="eastAsia" w:ascii="黑体" w:hAnsi="黑体" w:eastAsia="黑体" w:cs="黑体"/>
        </w:rPr>
        <w:fldChar w:fldCharType="separate"/>
      </w:r>
      <w:r>
        <w:rPr>
          <w:rFonts w:hint="eastAsia" w:ascii="黑体" w:hAnsi="黑体" w:eastAsia="黑体" w:cs="黑体"/>
        </w:rPr>
        <w:t>1.4投标人资格要求</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_Toc3254 \h </w:instrText>
      </w:r>
      <w:r>
        <w:rPr>
          <w:rFonts w:hint="eastAsia" w:ascii="黑体" w:hAnsi="黑体" w:eastAsia="黑体" w:cs="黑体"/>
        </w:rPr>
        <w:fldChar w:fldCharType="separate"/>
      </w:r>
      <w:r>
        <w:rPr>
          <w:rFonts w:hint="eastAsia" w:ascii="黑体" w:hAnsi="黑体" w:eastAsia="黑体" w:cs="黑体"/>
        </w:rPr>
        <w:t>15</w:t>
      </w:r>
      <w:r>
        <w:rPr>
          <w:rFonts w:hint="eastAsia" w:ascii="黑体" w:hAnsi="黑体" w:eastAsia="黑体" w:cs="黑体"/>
        </w:rPr>
        <w:fldChar w:fldCharType="end"/>
      </w:r>
      <w:r>
        <w:rPr>
          <w:rFonts w:hint="eastAsia" w:ascii="黑体" w:hAnsi="黑体" w:eastAsia="黑体" w:cs="黑体"/>
        </w:rPr>
        <w:fldChar w:fldCharType="end"/>
      </w:r>
    </w:p>
    <w:p w14:paraId="0D37CC4A">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_Toc4095 </w:instrText>
      </w:r>
      <w:r>
        <w:rPr>
          <w:rFonts w:hint="eastAsia" w:ascii="黑体" w:hAnsi="黑体" w:eastAsia="黑体" w:cs="黑体"/>
        </w:rPr>
        <w:fldChar w:fldCharType="separate"/>
      </w:r>
      <w:r>
        <w:rPr>
          <w:rFonts w:hint="eastAsia" w:ascii="黑体" w:hAnsi="黑体" w:eastAsia="黑体" w:cs="黑体"/>
        </w:rPr>
        <w:t>1.5 费用承担</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_Toc4095 \h </w:instrText>
      </w:r>
      <w:r>
        <w:rPr>
          <w:rFonts w:hint="eastAsia" w:ascii="黑体" w:hAnsi="黑体" w:eastAsia="黑体" w:cs="黑体"/>
        </w:rPr>
        <w:fldChar w:fldCharType="separate"/>
      </w:r>
      <w:r>
        <w:rPr>
          <w:rFonts w:hint="eastAsia" w:ascii="黑体" w:hAnsi="黑体" w:eastAsia="黑体" w:cs="黑体"/>
        </w:rPr>
        <w:t>17</w:t>
      </w:r>
      <w:r>
        <w:rPr>
          <w:rFonts w:hint="eastAsia" w:ascii="黑体" w:hAnsi="黑体" w:eastAsia="黑体" w:cs="黑体"/>
        </w:rPr>
        <w:fldChar w:fldCharType="end"/>
      </w:r>
      <w:r>
        <w:rPr>
          <w:rFonts w:hint="eastAsia" w:ascii="黑体" w:hAnsi="黑体" w:eastAsia="黑体" w:cs="黑体"/>
        </w:rPr>
        <w:fldChar w:fldCharType="end"/>
      </w:r>
    </w:p>
    <w:p w14:paraId="64EB3271">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_Toc12210 </w:instrText>
      </w:r>
      <w:r>
        <w:rPr>
          <w:rFonts w:hint="eastAsia" w:ascii="黑体" w:hAnsi="黑体" w:eastAsia="黑体" w:cs="黑体"/>
        </w:rPr>
        <w:fldChar w:fldCharType="separate"/>
      </w:r>
      <w:r>
        <w:rPr>
          <w:rFonts w:hint="eastAsia" w:ascii="黑体" w:hAnsi="黑体" w:eastAsia="黑体" w:cs="黑体"/>
        </w:rPr>
        <w:t>1.6保密</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_Toc12210 \h </w:instrText>
      </w:r>
      <w:r>
        <w:rPr>
          <w:rFonts w:hint="eastAsia" w:ascii="黑体" w:hAnsi="黑体" w:eastAsia="黑体" w:cs="黑体"/>
        </w:rPr>
        <w:fldChar w:fldCharType="separate"/>
      </w:r>
      <w:r>
        <w:rPr>
          <w:rFonts w:hint="eastAsia" w:ascii="黑体" w:hAnsi="黑体" w:eastAsia="黑体" w:cs="黑体"/>
        </w:rPr>
        <w:t>17</w:t>
      </w:r>
      <w:r>
        <w:rPr>
          <w:rFonts w:hint="eastAsia" w:ascii="黑体" w:hAnsi="黑体" w:eastAsia="黑体" w:cs="黑体"/>
        </w:rPr>
        <w:fldChar w:fldCharType="end"/>
      </w:r>
      <w:r>
        <w:rPr>
          <w:rFonts w:hint="eastAsia" w:ascii="黑体" w:hAnsi="黑体" w:eastAsia="黑体" w:cs="黑体"/>
        </w:rPr>
        <w:fldChar w:fldCharType="end"/>
      </w:r>
    </w:p>
    <w:p w14:paraId="28194B70">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_Toc29149 </w:instrText>
      </w:r>
      <w:r>
        <w:rPr>
          <w:rFonts w:hint="eastAsia" w:ascii="黑体" w:hAnsi="黑体" w:eastAsia="黑体" w:cs="黑体"/>
        </w:rPr>
        <w:fldChar w:fldCharType="separate"/>
      </w:r>
      <w:r>
        <w:rPr>
          <w:rFonts w:hint="eastAsia" w:ascii="黑体" w:hAnsi="黑体" w:eastAsia="黑体" w:cs="黑体"/>
        </w:rPr>
        <w:t>1.7 语言文字</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_Toc29149 \h </w:instrText>
      </w:r>
      <w:r>
        <w:rPr>
          <w:rFonts w:hint="eastAsia" w:ascii="黑体" w:hAnsi="黑体" w:eastAsia="黑体" w:cs="黑体"/>
        </w:rPr>
        <w:fldChar w:fldCharType="separate"/>
      </w:r>
      <w:r>
        <w:rPr>
          <w:rFonts w:hint="eastAsia" w:ascii="黑体" w:hAnsi="黑体" w:eastAsia="黑体" w:cs="黑体"/>
        </w:rPr>
        <w:t>17</w:t>
      </w:r>
      <w:r>
        <w:rPr>
          <w:rFonts w:hint="eastAsia" w:ascii="黑体" w:hAnsi="黑体" w:eastAsia="黑体" w:cs="黑体"/>
        </w:rPr>
        <w:fldChar w:fldCharType="end"/>
      </w:r>
      <w:r>
        <w:rPr>
          <w:rFonts w:hint="eastAsia" w:ascii="黑体" w:hAnsi="黑体" w:eastAsia="黑体" w:cs="黑体"/>
        </w:rPr>
        <w:fldChar w:fldCharType="end"/>
      </w:r>
    </w:p>
    <w:p w14:paraId="76FEE53A">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_Toc11714 </w:instrText>
      </w:r>
      <w:r>
        <w:rPr>
          <w:rFonts w:hint="eastAsia" w:ascii="黑体" w:hAnsi="黑体" w:eastAsia="黑体" w:cs="黑体"/>
        </w:rPr>
        <w:fldChar w:fldCharType="separate"/>
      </w:r>
      <w:r>
        <w:rPr>
          <w:rFonts w:hint="eastAsia" w:ascii="黑体" w:hAnsi="黑体" w:eastAsia="黑体" w:cs="黑体"/>
        </w:rPr>
        <w:t>1.8计量单位</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_Toc11714 \h </w:instrText>
      </w:r>
      <w:r>
        <w:rPr>
          <w:rFonts w:hint="eastAsia" w:ascii="黑体" w:hAnsi="黑体" w:eastAsia="黑体" w:cs="黑体"/>
        </w:rPr>
        <w:fldChar w:fldCharType="separate"/>
      </w:r>
      <w:r>
        <w:rPr>
          <w:rFonts w:hint="eastAsia" w:ascii="黑体" w:hAnsi="黑体" w:eastAsia="黑体" w:cs="黑体"/>
        </w:rPr>
        <w:t>17</w:t>
      </w:r>
      <w:r>
        <w:rPr>
          <w:rFonts w:hint="eastAsia" w:ascii="黑体" w:hAnsi="黑体" w:eastAsia="黑体" w:cs="黑体"/>
        </w:rPr>
        <w:fldChar w:fldCharType="end"/>
      </w:r>
      <w:r>
        <w:rPr>
          <w:rFonts w:hint="eastAsia" w:ascii="黑体" w:hAnsi="黑体" w:eastAsia="黑体" w:cs="黑体"/>
        </w:rPr>
        <w:fldChar w:fldCharType="end"/>
      </w:r>
    </w:p>
    <w:p w14:paraId="64E6EF25">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_Toc86 </w:instrText>
      </w:r>
      <w:r>
        <w:rPr>
          <w:rFonts w:hint="eastAsia" w:ascii="黑体" w:hAnsi="黑体" w:eastAsia="黑体" w:cs="黑体"/>
        </w:rPr>
        <w:fldChar w:fldCharType="separate"/>
      </w:r>
      <w:r>
        <w:rPr>
          <w:rFonts w:hint="eastAsia" w:ascii="黑体" w:hAnsi="黑体" w:eastAsia="黑体" w:cs="黑体"/>
        </w:rPr>
        <w:t>1.</w:t>
      </w:r>
      <w:r>
        <w:rPr>
          <w:rFonts w:hint="eastAsia" w:ascii="黑体" w:hAnsi="黑体" w:eastAsia="黑体" w:cs="黑体"/>
          <w:lang w:val="en-US" w:eastAsia="zh-CN"/>
        </w:rPr>
        <w:t>9</w:t>
      </w:r>
      <w:r>
        <w:rPr>
          <w:rFonts w:hint="eastAsia" w:ascii="黑体" w:hAnsi="黑体" w:eastAsia="黑体" w:cs="黑体"/>
        </w:rPr>
        <w:t xml:space="preserve"> 分包</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_Toc86 \h </w:instrText>
      </w:r>
      <w:r>
        <w:rPr>
          <w:rFonts w:hint="eastAsia" w:ascii="黑体" w:hAnsi="黑体" w:eastAsia="黑体" w:cs="黑体"/>
        </w:rPr>
        <w:fldChar w:fldCharType="separate"/>
      </w:r>
      <w:r>
        <w:rPr>
          <w:rFonts w:hint="eastAsia" w:ascii="黑体" w:hAnsi="黑体" w:eastAsia="黑体" w:cs="黑体"/>
        </w:rPr>
        <w:t>17</w:t>
      </w:r>
      <w:r>
        <w:rPr>
          <w:rFonts w:hint="eastAsia" w:ascii="黑体" w:hAnsi="黑体" w:eastAsia="黑体" w:cs="黑体"/>
        </w:rPr>
        <w:fldChar w:fldCharType="end"/>
      </w:r>
      <w:r>
        <w:rPr>
          <w:rFonts w:hint="eastAsia" w:ascii="黑体" w:hAnsi="黑体" w:eastAsia="黑体" w:cs="黑体"/>
        </w:rPr>
        <w:fldChar w:fldCharType="end"/>
      </w:r>
    </w:p>
    <w:p w14:paraId="580FA58C">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_Toc3457 </w:instrText>
      </w:r>
      <w:r>
        <w:rPr>
          <w:rFonts w:hint="eastAsia" w:ascii="黑体" w:hAnsi="黑体" w:eastAsia="黑体" w:cs="黑体"/>
        </w:rPr>
        <w:fldChar w:fldCharType="separate"/>
      </w:r>
      <w:r>
        <w:rPr>
          <w:rFonts w:hint="eastAsia" w:ascii="黑体" w:hAnsi="黑体" w:eastAsia="黑体" w:cs="黑体"/>
        </w:rPr>
        <w:t>1.1</w:t>
      </w:r>
      <w:r>
        <w:rPr>
          <w:rFonts w:hint="eastAsia" w:ascii="黑体" w:hAnsi="黑体" w:eastAsia="黑体" w:cs="黑体"/>
          <w:lang w:val="en-US" w:eastAsia="zh-CN"/>
        </w:rPr>
        <w:t>0</w:t>
      </w:r>
      <w:r>
        <w:rPr>
          <w:rFonts w:hint="eastAsia" w:ascii="黑体" w:hAnsi="黑体" w:eastAsia="黑体" w:cs="黑体"/>
        </w:rPr>
        <w:t>响应和偏差</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_Toc3457 \h </w:instrText>
      </w:r>
      <w:r>
        <w:rPr>
          <w:rFonts w:hint="eastAsia" w:ascii="黑体" w:hAnsi="黑体" w:eastAsia="黑体" w:cs="黑体"/>
        </w:rPr>
        <w:fldChar w:fldCharType="separate"/>
      </w:r>
      <w:r>
        <w:rPr>
          <w:rFonts w:hint="eastAsia" w:ascii="黑体" w:hAnsi="黑体" w:eastAsia="黑体" w:cs="黑体"/>
        </w:rPr>
        <w:t>17</w:t>
      </w:r>
      <w:r>
        <w:rPr>
          <w:rFonts w:hint="eastAsia" w:ascii="黑体" w:hAnsi="黑体" w:eastAsia="黑体" w:cs="黑体"/>
        </w:rPr>
        <w:fldChar w:fldCharType="end"/>
      </w:r>
      <w:r>
        <w:rPr>
          <w:rFonts w:hint="eastAsia" w:ascii="黑体" w:hAnsi="黑体" w:eastAsia="黑体" w:cs="黑体"/>
        </w:rPr>
        <w:fldChar w:fldCharType="end"/>
      </w:r>
    </w:p>
    <w:p w14:paraId="4C0ED907">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_Toc20532 </w:instrText>
      </w:r>
      <w:r>
        <w:rPr>
          <w:rFonts w:hint="eastAsia" w:ascii="黑体" w:hAnsi="黑体" w:eastAsia="黑体" w:cs="黑体"/>
        </w:rPr>
        <w:fldChar w:fldCharType="separate"/>
      </w:r>
      <w:r>
        <w:rPr>
          <w:rFonts w:hint="eastAsia" w:ascii="黑体" w:hAnsi="黑体" w:eastAsia="黑体" w:cs="黑体"/>
        </w:rPr>
        <w:t>2. 招标文件</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_Toc20532 \h </w:instrText>
      </w:r>
      <w:r>
        <w:rPr>
          <w:rFonts w:hint="eastAsia" w:ascii="黑体" w:hAnsi="黑体" w:eastAsia="黑体" w:cs="黑体"/>
        </w:rPr>
        <w:fldChar w:fldCharType="separate"/>
      </w:r>
      <w:r>
        <w:rPr>
          <w:rFonts w:hint="eastAsia" w:ascii="黑体" w:hAnsi="黑体" w:eastAsia="黑体" w:cs="黑体"/>
        </w:rPr>
        <w:t>18</w:t>
      </w:r>
      <w:r>
        <w:rPr>
          <w:rFonts w:hint="eastAsia" w:ascii="黑体" w:hAnsi="黑体" w:eastAsia="黑体" w:cs="黑体"/>
        </w:rPr>
        <w:fldChar w:fldCharType="end"/>
      </w:r>
      <w:r>
        <w:rPr>
          <w:rFonts w:hint="eastAsia" w:ascii="黑体" w:hAnsi="黑体" w:eastAsia="黑体" w:cs="黑体"/>
        </w:rPr>
        <w:fldChar w:fldCharType="end"/>
      </w:r>
    </w:p>
    <w:p w14:paraId="501174A2">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_Toc7858 </w:instrText>
      </w:r>
      <w:r>
        <w:rPr>
          <w:rFonts w:hint="eastAsia" w:ascii="黑体" w:hAnsi="黑体" w:eastAsia="黑体" w:cs="黑体"/>
        </w:rPr>
        <w:fldChar w:fldCharType="separate"/>
      </w:r>
      <w:r>
        <w:rPr>
          <w:rFonts w:hint="eastAsia" w:ascii="黑体" w:hAnsi="黑体" w:eastAsia="黑体" w:cs="黑体"/>
        </w:rPr>
        <w:t>2.1 招标文件的组成</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_Toc7858 \h </w:instrText>
      </w:r>
      <w:r>
        <w:rPr>
          <w:rFonts w:hint="eastAsia" w:ascii="黑体" w:hAnsi="黑体" w:eastAsia="黑体" w:cs="黑体"/>
        </w:rPr>
        <w:fldChar w:fldCharType="separate"/>
      </w:r>
      <w:r>
        <w:rPr>
          <w:rFonts w:hint="eastAsia" w:ascii="黑体" w:hAnsi="黑体" w:eastAsia="黑体" w:cs="黑体"/>
        </w:rPr>
        <w:t>18</w:t>
      </w:r>
      <w:r>
        <w:rPr>
          <w:rFonts w:hint="eastAsia" w:ascii="黑体" w:hAnsi="黑体" w:eastAsia="黑体" w:cs="黑体"/>
        </w:rPr>
        <w:fldChar w:fldCharType="end"/>
      </w:r>
      <w:r>
        <w:rPr>
          <w:rFonts w:hint="eastAsia" w:ascii="黑体" w:hAnsi="黑体" w:eastAsia="黑体" w:cs="黑体"/>
        </w:rPr>
        <w:fldChar w:fldCharType="end"/>
      </w:r>
    </w:p>
    <w:p w14:paraId="775EAC92">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_Toc12265 </w:instrText>
      </w:r>
      <w:r>
        <w:rPr>
          <w:rFonts w:hint="eastAsia" w:ascii="黑体" w:hAnsi="黑体" w:eastAsia="黑体" w:cs="黑体"/>
        </w:rPr>
        <w:fldChar w:fldCharType="separate"/>
      </w:r>
      <w:r>
        <w:rPr>
          <w:rFonts w:hint="eastAsia" w:ascii="黑体" w:hAnsi="黑体" w:eastAsia="黑体" w:cs="黑体"/>
        </w:rPr>
        <w:t>2.2 招标文件的澄清</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_Toc12265 \h </w:instrText>
      </w:r>
      <w:r>
        <w:rPr>
          <w:rFonts w:hint="eastAsia" w:ascii="黑体" w:hAnsi="黑体" w:eastAsia="黑体" w:cs="黑体"/>
        </w:rPr>
        <w:fldChar w:fldCharType="separate"/>
      </w:r>
      <w:r>
        <w:rPr>
          <w:rFonts w:hint="eastAsia" w:ascii="黑体" w:hAnsi="黑体" w:eastAsia="黑体" w:cs="黑体"/>
        </w:rPr>
        <w:t>18</w:t>
      </w:r>
      <w:r>
        <w:rPr>
          <w:rFonts w:hint="eastAsia" w:ascii="黑体" w:hAnsi="黑体" w:eastAsia="黑体" w:cs="黑体"/>
        </w:rPr>
        <w:fldChar w:fldCharType="end"/>
      </w:r>
      <w:r>
        <w:rPr>
          <w:rFonts w:hint="eastAsia" w:ascii="黑体" w:hAnsi="黑体" w:eastAsia="黑体" w:cs="黑体"/>
        </w:rPr>
        <w:fldChar w:fldCharType="end"/>
      </w:r>
    </w:p>
    <w:p w14:paraId="611DB8CF">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_Toc1252 </w:instrText>
      </w:r>
      <w:r>
        <w:rPr>
          <w:rFonts w:hint="eastAsia" w:ascii="黑体" w:hAnsi="黑体" w:eastAsia="黑体" w:cs="黑体"/>
        </w:rPr>
        <w:fldChar w:fldCharType="separate"/>
      </w:r>
      <w:r>
        <w:rPr>
          <w:rFonts w:hint="eastAsia" w:ascii="黑体" w:hAnsi="黑体" w:eastAsia="黑体" w:cs="黑体"/>
        </w:rPr>
        <w:t>2.3 招标文件的修改</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_Toc1252 \h </w:instrText>
      </w:r>
      <w:r>
        <w:rPr>
          <w:rFonts w:hint="eastAsia" w:ascii="黑体" w:hAnsi="黑体" w:eastAsia="黑体" w:cs="黑体"/>
        </w:rPr>
        <w:fldChar w:fldCharType="separate"/>
      </w:r>
      <w:r>
        <w:rPr>
          <w:rFonts w:hint="eastAsia" w:ascii="黑体" w:hAnsi="黑体" w:eastAsia="黑体" w:cs="黑体"/>
        </w:rPr>
        <w:t>19</w:t>
      </w:r>
      <w:r>
        <w:rPr>
          <w:rFonts w:hint="eastAsia" w:ascii="黑体" w:hAnsi="黑体" w:eastAsia="黑体" w:cs="黑体"/>
        </w:rPr>
        <w:fldChar w:fldCharType="end"/>
      </w:r>
      <w:r>
        <w:rPr>
          <w:rFonts w:hint="eastAsia" w:ascii="黑体" w:hAnsi="黑体" w:eastAsia="黑体" w:cs="黑体"/>
        </w:rPr>
        <w:fldChar w:fldCharType="end"/>
      </w:r>
    </w:p>
    <w:p w14:paraId="1F157668">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_Toc12288 </w:instrText>
      </w:r>
      <w:r>
        <w:rPr>
          <w:rFonts w:hint="eastAsia" w:ascii="黑体" w:hAnsi="黑体" w:eastAsia="黑体" w:cs="黑体"/>
        </w:rPr>
        <w:fldChar w:fldCharType="separate"/>
      </w:r>
      <w:r>
        <w:rPr>
          <w:rFonts w:hint="eastAsia" w:ascii="黑体" w:hAnsi="黑体" w:eastAsia="黑体" w:cs="黑体"/>
        </w:rPr>
        <w:t>2.4 招标文件的异议</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_Toc12288 \h </w:instrText>
      </w:r>
      <w:r>
        <w:rPr>
          <w:rFonts w:hint="eastAsia" w:ascii="黑体" w:hAnsi="黑体" w:eastAsia="黑体" w:cs="黑体"/>
        </w:rPr>
        <w:fldChar w:fldCharType="separate"/>
      </w:r>
      <w:r>
        <w:rPr>
          <w:rFonts w:hint="eastAsia" w:ascii="黑体" w:hAnsi="黑体" w:eastAsia="黑体" w:cs="黑体"/>
        </w:rPr>
        <w:t>19</w:t>
      </w:r>
      <w:r>
        <w:rPr>
          <w:rFonts w:hint="eastAsia" w:ascii="黑体" w:hAnsi="黑体" w:eastAsia="黑体" w:cs="黑体"/>
        </w:rPr>
        <w:fldChar w:fldCharType="end"/>
      </w:r>
      <w:r>
        <w:rPr>
          <w:rFonts w:hint="eastAsia" w:ascii="黑体" w:hAnsi="黑体" w:eastAsia="黑体" w:cs="黑体"/>
        </w:rPr>
        <w:fldChar w:fldCharType="end"/>
      </w:r>
    </w:p>
    <w:p w14:paraId="770E3616">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_Toc9390 </w:instrText>
      </w:r>
      <w:r>
        <w:rPr>
          <w:rFonts w:hint="eastAsia" w:ascii="黑体" w:hAnsi="黑体" w:eastAsia="黑体" w:cs="黑体"/>
        </w:rPr>
        <w:fldChar w:fldCharType="separate"/>
      </w:r>
      <w:r>
        <w:rPr>
          <w:rFonts w:hint="eastAsia" w:ascii="黑体" w:hAnsi="黑体" w:eastAsia="黑体" w:cs="黑体"/>
        </w:rPr>
        <w:t>3. 投标文件</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_Toc9390 \h </w:instrText>
      </w:r>
      <w:r>
        <w:rPr>
          <w:rFonts w:hint="eastAsia" w:ascii="黑体" w:hAnsi="黑体" w:eastAsia="黑体" w:cs="黑体"/>
        </w:rPr>
        <w:fldChar w:fldCharType="separate"/>
      </w:r>
      <w:r>
        <w:rPr>
          <w:rFonts w:hint="eastAsia" w:ascii="黑体" w:hAnsi="黑体" w:eastAsia="黑体" w:cs="黑体"/>
        </w:rPr>
        <w:t>19</w:t>
      </w:r>
      <w:r>
        <w:rPr>
          <w:rFonts w:hint="eastAsia" w:ascii="黑体" w:hAnsi="黑体" w:eastAsia="黑体" w:cs="黑体"/>
        </w:rPr>
        <w:fldChar w:fldCharType="end"/>
      </w:r>
      <w:r>
        <w:rPr>
          <w:rFonts w:hint="eastAsia" w:ascii="黑体" w:hAnsi="黑体" w:eastAsia="黑体" w:cs="黑体"/>
        </w:rPr>
        <w:fldChar w:fldCharType="end"/>
      </w:r>
    </w:p>
    <w:p w14:paraId="4F07B08B">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_Toc18446 </w:instrText>
      </w:r>
      <w:r>
        <w:rPr>
          <w:rFonts w:hint="eastAsia" w:ascii="黑体" w:hAnsi="黑体" w:eastAsia="黑体" w:cs="黑体"/>
        </w:rPr>
        <w:fldChar w:fldCharType="separate"/>
      </w:r>
      <w:r>
        <w:rPr>
          <w:rFonts w:hint="eastAsia" w:ascii="黑体" w:hAnsi="黑体" w:eastAsia="黑体" w:cs="黑体"/>
        </w:rPr>
        <w:t>3.1 投标文件的组成</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_Toc18446 \h </w:instrText>
      </w:r>
      <w:r>
        <w:rPr>
          <w:rFonts w:hint="eastAsia" w:ascii="黑体" w:hAnsi="黑体" w:eastAsia="黑体" w:cs="黑体"/>
        </w:rPr>
        <w:fldChar w:fldCharType="separate"/>
      </w:r>
      <w:r>
        <w:rPr>
          <w:rFonts w:hint="eastAsia" w:ascii="黑体" w:hAnsi="黑体" w:eastAsia="黑体" w:cs="黑体"/>
        </w:rPr>
        <w:t>19</w:t>
      </w:r>
      <w:r>
        <w:rPr>
          <w:rFonts w:hint="eastAsia" w:ascii="黑体" w:hAnsi="黑体" w:eastAsia="黑体" w:cs="黑体"/>
        </w:rPr>
        <w:fldChar w:fldCharType="end"/>
      </w:r>
      <w:r>
        <w:rPr>
          <w:rFonts w:hint="eastAsia" w:ascii="黑体" w:hAnsi="黑体" w:eastAsia="黑体" w:cs="黑体"/>
        </w:rPr>
        <w:fldChar w:fldCharType="end"/>
      </w:r>
    </w:p>
    <w:p w14:paraId="60E3ED84">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_Toc28515 </w:instrText>
      </w:r>
      <w:r>
        <w:rPr>
          <w:rFonts w:hint="eastAsia" w:ascii="黑体" w:hAnsi="黑体" w:eastAsia="黑体" w:cs="黑体"/>
        </w:rPr>
        <w:fldChar w:fldCharType="separate"/>
      </w:r>
      <w:r>
        <w:rPr>
          <w:rFonts w:hint="eastAsia" w:ascii="黑体" w:hAnsi="黑体" w:eastAsia="黑体" w:cs="黑体"/>
        </w:rPr>
        <w:t>3.2 投标报价</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_Toc28515 \h </w:instrText>
      </w:r>
      <w:r>
        <w:rPr>
          <w:rFonts w:hint="eastAsia" w:ascii="黑体" w:hAnsi="黑体" w:eastAsia="黑体" w:cs="黑体"/>
        </w:rPr>
        <w:fldChar w:fldCharType="separate"/>
      </w:r>
      <w:r>
        <w:rPr>
          <w:rFonts w:hint="eastAsia" w:ascii="黑体" w:hAnsi="黑体" w:eastAsia="黑体" w:cs="黑体"/>
        </w:rPr>
        <w:t>20</w:t>
      </w:r>
      <w:r>
        <w:rPr>
          <w:rFonts w:hint="eastAsia" w:ascii="黑体" w:hAnsi="黑体" w:eastAsia="黑体" w:cs="黑体"/>
        </w:rPr>
        <w:fldChar w:fldCharType="end"/>
      </w:r>
      <w:r>
        <w:rPr>
          <w:rFonts w:hint="eastAsia" w:ascii="黑体" w:hAnsi="黑体" w:eastAsia="黑体" w:cs="黑体"/>
        </w:rPr>
        <w:fldChar w:fldCharType="end"/>
      </w:r>
    </w:p>
    <w:p w14:paraId="32481DF0">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_Toc17403 </w:instrText>
      </w:r>
      <w:r>
        <w:rPr>
          <w:rFonts w:hint="eastAsia" w:ascii="黑体" w:hAnsi="黑体" w:eastAsia="黑体" w:cs="黑体"/>
        </w:rPr>
        <w:fldChar w:fldCharType="separate"/>
      </w:r>
      <w:r>
        <w:rPr>
          <w:rFonts w:hint="eastAsia" w:ascii="黑体" w:hAnsi="黑体" w:eastAsia="黑体" w:cs="黑体"/>
        </w:rPr>
        <w:t>3.3 投标有效期</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_Toc17403 \h </w:instrText>
      </w:r>
      <w:r>
        <w:rPr>
          <w:rFonts w:hint="eastAsia" w:ascii="黑体" w:hAnsi="黑体" w:eastAsia="黑体" w:cs="黑体"/>
        </w:rPr>
        <w:fldChar w:fldCharType="separate"/>
      </w:r>
      <w:r>
        <w:rPr>
          <w:rFonts w:hint="eastAsia" w:ascii="黑体" w:hAnsi="黑体" w:eastAsia="黑体" w:cs="黑体"/>
        </w:rPr>
        <w:t>20</w:t>
      </w:r>
      <w:r>
        <w:rPr>
          <w:rFonts w:hint="eastAsia" w:ascii="黑体" w:hAnsi="黑体" w:eastAsia="黑体" w:cs="黑体"/>
        </w:rPr>
        <w:fldChar w:fldCharType="end"/>
      </w:r>
      <w:r>
        <w:rPr>
          <w:rFonts w:hint="eastAsia" w:ascii="黑体" w:hAnsi="黑体" w:eastAsia="黑体" w:cs="黑体"/>
        </w:rPr>
        <w:fldChar w:fldCharType="end"/>
      </w:r>
    </w:p>
    <w:p w14:paraId="2D1B3230">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_Toc10652 </w:instrText>
      </w:r>
      <w:r>
        <w:rPr>
          <w:rFonts w:hint="eastAsia" w:ascii="黑体" w:hAnsi="黑体" w:eastAsia="黑体" w:cs="黑体"/>
        </w:rPr>
        <w:fldChar w:fldCharType="separate"/>
      </w:r>
      <w:r>
        <w:rPr>
          <w:rFonts w:hint="eastAsia" w:ascii="黑体" w:hAnsi="黑体" w:eastAsia="黑体" w:cs="黑体"/>
        </w:rPr>
        <w:t>3.4 投标保证金</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_Toc10652 \h </w:instrText>
      </w:r>
      <w:r>
        <w:rPr>
          <w:rFonts w:hint="eastAsia" w:ascii="黑体" w:hAnsi="黑体" w:eastAsia="黑体" w:cs="黑体"/>
        </w:rPr>
        <w:fldChar w:fldCharType="separate"/>
      </w:r>
      <w:r>
        <w:rPr>
          <w:rFonts w:hint="eastAsia" w:ascii="黑体" w:hAnsi="黑体" w:eastAsia="黑体" w:cs="黑体"/>
        </w:rPr>
        <w:t>20</w:t>
      </w:r>
      <w:r>
        <w:rPr>
          <w:rFonts w:hint="eastAsia" w:ascii="黑体" w:hAnsi="黑体" w:eastAsia="黑体" w:cs="黑体"/>
        </w:rPr>
        <w:fldChar w:fldCharType="end"/>
      </w:r>
      <w:r>
        <w:rPr>
          <w:rFonts w:hint="eastAsia" w:ascii="黑体" w:hAnsi="黑体" w:eastAsia="黑体" w:cs="黑体"/>
        </w:rPr>
        <w:fldChar w:fldCharType="end"/>
      </w:r>
    </w:p>
    <w:p w14:paraId="37642967">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_Toc17642 </w:instrText>
      </w:r>
      <w:r>
        <w:rPr>
          <w:rFonts w:hint="eastAsia" w:ascii="黑体" w:hAnsi="黑体" w:eastAsia="黑体" w:cs="黑体"/>
        </w:rPr>
        <w:fldChar w:fldCharType="separate"/>
      </w:r>
      <w:r>
        <w:rPr>
          <w:rFonts w:hint="eastAsia" w:ascii="黑体" w:hAnsi="黑体" w:eastAsia="黑体" w:cs="黑体"/>
        </w:rPr>
        <w:t>3.5 资格审查资料</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_Toc17642 \h </w:instrText>
      </w:r>
      <w:r>
        <w:rPr>
          <w:rFonts w:hint="eastAsia" w:ascii="黑体" w:hAnsi="黑体" w:eastAsia="黑体" w:cs="黑体"/>
        </w:rPr>
        <w:fldChar w:fldCharType="separate"/>
      </w:r>
      <w:r>
        <w:rPr>
          <w:rFonts w:hint="eastAsia" w:ascii="黑体" w:hAnsi="黑体" w:eastAsia="黑体" w:cs="黑体"/>
        </w:rPr>
        <w:t>21</w:t>
      </w:r>
      <w:r>
        <w:rPr>
          <w:rFonts w:hint="eastAsia" w:ascii="黑体" w:hAnsi="黑体" w:eastAsia="黑体" w:cs="黑体"/>
        </w:rPr>
        <w:fldChar w:fldCharType="end"/>
      </w:r>
      <w:r>
        <w:rPr>
          <w:rFonts w:hint="eastAsia" w:ascii="黑体" w:hAnsi="黑体" w:eastAsia="黑体" w:cs="黑体"/>
        </w:rPr>
        <w:fldChar w:fldCharType="end"/>
      </w:r>
    </w:p>
    <w:p w14:paraId="2BB363D9">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_Toc27426 </w:instrText>
      </w:r>
      <w:r>
        <w:rPr>
          <w:rFonts w:hint="eastAsia" w:ascii="黑体" w:hAnsi="黑体" w:eastAsia="黑体" w:cs="黑体"/>
        </w:rPr>
        <w:fldChar w:fldCharType="separate"/>
      </w:r>
      <w:r>
        <w:rPr>
          <w:rFonts w:hint="eastAsia" w:ascii="黑体" w:hAnsi="黑体" w:eastAsia="黑体" w:cs="黑体"/>
        </w:rPr>
        <w:t>3.6 备选投标方案</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_Toc27426 \h </w:instrText>
      </w:r>
      <w:r>
        <w:rPr>
          <w:rFonts w:hint="eastAsia" w:ascii="黑体" w:hAnsi="黑体" w:eastAsia="黑体" w:cs="黑体"/>
        </w:rPr>
        <w:fldChar w:fldCharType="separate"/>
      </w:r>
      <w:r>
        <w:rPr>
          <w:rFonts w:hint="eastAsia" w:ascii="黑体" w:hAnsi="黑体" w:eastAsia="黑体" w:cs="黑体"/>
        </w:rPr>
        <w:t>21</w:t>
      </w:r>
      <w:r>
        <w:rPr>
          <w:rFonts w:hint="eastAsia" w:ascii="黑体" w:hAnsi="黑体" w:eastAsia="黑体" w:cs="黑体"/>
        </w:rPr>
        <w:fldChar w:fldCharType="end"/>
      </w:r>
      <w:r>
        <w:rPr>
          <w:rFonts w:hint="eastAsia" w:ascii="黑体" w:hAnsi="黑体" w:eastAsia="黑体" w:cs="黑体"/>
        </w:rPr>
        <w:fldChar w:fldCharType="end"/>
      </w:r>
    </w:p>
    <w:p w14:paraId="63B3D73B">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_Toc14852 </w:instrText>
      </w:r>
      <w:r>
        <w:rPr>
          <w:rFonts w:hint="eastAsia" w:ascii="黑体" w:hAnsi="黑体" w:eastAsia="黑体" w:cs="黑体"/>
        </w:rPr>
        <w:fldChar w:fldCharType="separate"/>
      </w:r>
      <w:r>
        <w:rPr>
          <w:rFonts w:hint="eastAsia" w:ascii="黑体" w:hAnsi="黑体" w:eastAsia="黑体" w:cs="黑体"/>
        </w:rPr>
        <w:t>3.7 投标文件的编制</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_Toc14852 \h </w:instrText>
      </w:r>
      <w:r>
        <w:rPr>
          <w:rFonts w:hint="eastAsia" w:ascii="黑体" w:hAnsi="黑体" w:eastAsia="黑体" w:cs="黑体"/>
        </w:rPr>
        <w:fldChar w:fldCharType="separate"/>
      </w:r>
      <w:r>
        <w:rPr>
          <w:rFonts w:hint="eastAsia" w:ascii="黑体" w:hAnsi="黑体" w:eastAsia="黑体" w:cs="黑体"/>
        </w:rPr>
        <w:t>22</w:t>
      </w:r>
      <w:r>
        <w:rPr>
          <w:rFonts w:hint="eastAsia" w:ascii="黑体" w:hAnsi="黑体" w:eastAsia="黑体" w:cs="黑体"/>
        </w:rPr>
        <w:fldChar w:fldCharType="end"/>
      </w:r>
      <w:r>
        <w:rPr>
          <w:rFonts w:hint="eastAsia" w:ascii="黑体" w:hAnsi="黑体" w:eastAsia="黑体" w:cs="黑体"/>
        </w:rPr>
        <w:fldChar w:fldCharType="end"/>
      </w:r>
    </w:p>
    <w:p w14:paraId="6F1F2438">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_Toc19183 </w:instrText>
      </w:r>
      <w:r>
        <w:rPr>
          <w:rFonts w:hint="eastAsia" w:ascii="黑体" w:hAnsi="黑体" w:eastAsia="黑体" w:cs="黑体"/>
        </w:rPr>
        <w:fldChar w:fldCharType="separate"/>
      </w:r>
      <w:r>
        <w:rPr>
          <w:rFonts w:hint="eastAsia" w:ascii="黑体" w:hAnsi="黑体" w:eastAsia="黑体" w:cs="黑体"/>
        </w:rPr>
        <w:t>4. 投标</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_Toc19183 \h </w:instrText>
      </w:r>
      <w:r>
        <w:rPr>
          <w:rFonts w:hint="eastAsia" w:ascii="黑体" w:hAnsi="黑体" w:eastAsia="黑体" w:cs="黑体"/>
        </w:rPr>
        <w:fldChar w:fldCharType="separate"/>
      </w:r>
      <w:r>
        <w:rPr>
          <w:rFonts w:hint="eastAsia" w:ascii="黑体" w:hAnsi="黑体" w:eastAsia="黑体" w:cs="黑体"/>
        </w:rPr>
        <w:t>22</w:t>
      </w:r>
      <w:r>
        <w:rPr>
          <w:rFonts w:hint="eastAsia" w:ascii="黑体" w:hAnsi="黑体" w:eastAsia="黑体" w:cs="黑体"/>
        </w:rPr>
        <w:fldChar w:fldCharType="end"/>
      </w:r>
      <w:r>
        <w:rPr>
          <w:rFonts w:hint="eastAsia" w:ascii="黑体" w:hAnsi="黑体" w:eastAsia="黑体" w:cs="黑体"/>
        </w:rPr>
        <w:fldChar w:fldCharType="end"/>
      </w:r>
    </w:p>
    <w:p w14:paraId="5EB4E2E9">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_Toc6383 </w:instrText>
      </w:r>
      <w:r>
        <w:rPr>
          <w:rFonts w:hint="eastAsia" w:ascii="黑体" w:hAnsi="黑体" w:eastAsia="黑体" w:cs="黑体"/>
        </w:rPr>
        <w:fldChar w:fldCharType="separate"/>
      </w:r>
      <w:r>
        <w:rPr>
          <w:rFonts w:hint="eastAsia" w:ascii="黑体" w:hAnsi="黑体" w:eastAsia="黑体" w:cs="黑体"/>
        </w:rPr>
        <w:t>4.1 投标文件的密封和标记</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_Toc6383 \h </w:instrText>
      </w:r>
      <w:r>
        <w:rPr>
          <w:rFonts w:hint="eastAsia" w:ascii="黑体" w:hAnsi="黑体" w:eastAsia="黑体" w:cs="黑体"/>
        </w:rPr>
        <w:fldChar w:fldCharType="separate"/>
      </w:r>
      <w:r>
        <w:rPr>
          <w:rFonts w:hint="eastAsia" w:ascii="黑体" w:hAnsi="黑体" w:eastAsia="黑体" w:cs="黑体"/>
        </w:rPr>
        <w:t>22</w:t>
      </w:r>
      <w:r>
        <w:rPr>
          <w:rFonts w:hint="eastAsia" w:ascii="黑体" w:hAnsi="黑体" w:eastAsia="黑体" w:cs="黑体"/>
        </w:rPr>
        <w:fldChar w:fldCharType="end"/>
      </w:r>
      <w:r>
        <w:rPr>
          <w:rFonts w:hint="eastAsia" w:ascii="黑体" w:hAnsi="黑体" w:eastAsia="黑体" w:cs="黑体"/>
        </w:rPr>
        <w:fldChar w:fldCharType="end"/>
      </w:r>
    </w:p>
    <w:p w14:paraId="6F4152BB">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_Toc91 </w:instrText>
      </w:r>
      <w:r>
        <w:rPr>
          <w:rFonts w:hint="eastAsia" w:ascii="黑体" w:hAnsi="黑体" w:eastAsia="黑体" w:cs="黑体"/>
        </w:rPr>
        <w:fldChar w:fldCharType="separate"/>
      </w:r>
      <w:r>
        <w:rPr>
          <w:rFonts w:hint="eastAsia" w:ascii="黑体" w:hAnsi="黑体" w:eastAsia="黑体" w:cs="黑体"/>
        </w:rPr>
        <w:t>4.2 投标文件的递交</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_Toc91 \h </w:instrText>
      </w:r>
      <w:r>
        <w:rPr>
          <w:rFonts w:hint="eastAsia" w:ascii="黑体" w:hAnsi="黑体" w:eastAsia="黑体" w:cs="黑体"/>
        </w:rPr>
        <w:fldChar w:fldCharType="separate"/>
      </w:r>
      <w:r>
        <w:rPr>
          <w:rFonts w:hint="eastAsia" w:ascii="黑体" w:hAnsi="黑体" w:eastAsia="黑体" w:cs="黑体"/>
        </w:rPr>
        <w:t>22</w:t>
      </w:r>
      <w:r>
        <w:rPr>
          <w:rFonts w:hint="eastAsia" w:ascii="黑体" w:hAnsi="黑体" w:eastAsia="黑体" w:cs="黑体"/>
        </w:rPr>
        <w:fldChar w:fldCharType="end"/>
      </w:r>
      <w:r>
        <w:rPr>
          <w:rFonts w:hint="eastAsia" w:ascii="黑体" w:hAnsi="黑体" w:eastAsia="黑体" w:cs="黑体"/>
        </w:rPr>
        <w:fldChar w:fldCharType="end"/>
      </w:r>
    </w:p>
    <w:p w14:paraId="7821079E">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_Toc6849 </w:instrText>
      </w:r>
      <w:r>
        <w:rPr>
          <w:rFonts w:hint="eastAsia" w:ascii="黑体" w:hAnsi="黑体" w:eastAsia="黑体" w:cs="黑体"/>
        </w:rPr>
        <w:fldChar w:fldCharType="separate"/>
      </w:r>
      <w:r>
        <w:rPr>
          <w:rFonts w:hint="eastAsia" w:ascii="黑体" w:hAnsi="黑体" w:eastAsia="黑体" w:cs="黑体"/>
        </w:rPr>
        <w:t>4.3 投标文件的修改与撤回</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_Toc6849 \h </w:instrText>
      </w:r>
      <w:r>
        <w:rPr>
          <w:rFonts w:hint="eastAsia" w:ascii="黑体" w:hAnsi="黑体" w:eastAsia="黑体" w:cs="黑体"/>
        </w:rPr>
        <w:fldChar w:fldCharType="separate"/>
      </w:r>
      <w:r>
        <w:rPr>
          <w:rFonts w:hint="eastAsia" w:ascii="黑体" w:hAnsi="黑体" w:eastAsia="黑体" w:cs="黑体"/>
        </w:rPr>
        <w:t>23</w:t>
      </w:r>
      <w:r>
        <w:rPr>
          <w:rFonts w:hint="eastAsia" w:ascii="黑体" w:hAnsi="黑体" w:eastAsia="黑体" w:cs="黑体"/>
        </w:rPr>
        <w:fldChar w:fldCharType="end"/>
      </w:r>
      <w:r>
        <w:rPr>
          <w:rFonts w:hint="eastAsia" w:ascii="黑体" w:hAnsi="黑体" w:eastAsia="黑体" w:cs="黑体"/>
        </w:rPr>
        <w:fldChar w:fldCharType="end"/>
      </w:r>
    </w:p>
    <w:p w14:paraId="661EE90D">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_Toc19135 </w:instrText>
      </w:r>
      <w:r>
        <w:rPr>
          <w:rFonts w:hint="eastAsia" w:ascii="黑体" w:hAnsi="黑体" w:eastAsia="黑体" w:cs="黑体"/>
        </w:rPr>
        <w:fldChar w:fldCharType="separate"/>
      </w:r>
      <w:r>
        <w:rPr>
          <w:rFonts w:hint="eastAsia" w:ascii="黑体" w:hAnsi="黑体" w:eastAsia="黑体" w:cs="黑体"/>
        </w:rPr>
        <w:t>5. 开标</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_Toc19135 \h </w:instrText>
      </w:r>
      <w:r>
        <w:rPr>
          <w:rFonts w:hint="eastAsia" w:ascii="黑体" w:hAnsi="黑体" w:eastAsia="黑体" w:cs="黑体"/>
        </w:rPr>
        <w:fldChar w:fldCharType="separate"/>
      </w:r>
      <w:r>
        <w:rPr>
          <w:rFonts w:hint="eastAsia" w:ascii="黑体" w:hAnsi="黑体" w:eastAsia="黑体" w:cs="黑体"/>
        </w:rPr>
        <w:t>23</w:t>
      </w:r>
      <w:r>
        <w:rPr>
          <w:rFonts w:hint="eastAsia" w:ascii="黑体" w:hAnsi="黑体" w:eastAsia="黑体" w:cs="黑体"/>
        </w:rPr>
        <w:fldChar w:fldCharType="end"/>
      </w:r>
      <w:r>
        <w:rPr>
          <w:rFonts w:hint="eastAsia" w:ascii="黑体" w:hAnsi="黑体" w:eastAsia="黑体" w:cs="黑体"/>
        </w:rPr>
        <w:fldChar w:fldCharType="end"/>
      </w:r>
    </w:p>
    <w:p w14:paraId="79A45656">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_Toc10659 </w:instrText>
      </w:r>
      <w:r>
        <w:rPr>
          <w:rFonts w:hint="eastAsia" w:ascii="黑体" w:hAnsi="黑体" w:eastAsia="黑体" w:cs="黑体"/>
        </w:rPr>
        <w:fldChar w:fldCharType="separate"/>
      </w:r>
      <w:r>
        <w:rPr>
          <w:rFonts w:hint="eastAsia" w:ascii="黑体" w:hAnsi="黑体" w:eastAsia="黑体" w:cs="黑体"/>
        </w:rPr>
        <w:t>5.1 开标时间和地点</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_Toc10659 \h </w:instrText>
      </w:r>
      <w:r>
        <w:rPr>
          <w:rFonts w:hint="eastAsia" w:ascii="黑体" w:hAnsi="黑体" w:eastAsia="黑体" w:cs="黑体"/>
        </w:rPr>
        <w:fldChar w:fldCharType="separate"/>
      </w:r>
      <w:r>
        <w:rPr>
          <w:rFonts w:hint="eastAsia" w:ascii="黑体" w:hAnsi="黑体" w:eastAsia="黑体" w:cs="黑体"/>
        </w:rPr>
        <w:t>23</w:t>
      </w:r>
      <w:r>
        <w:rPr>
          <w:rFonts w:hint="eastAsia" w:ascii="黑体" w:hAnsi="黑体" w:eastAsia="黑体" w:cs="黑体"/>
        </w:rPr>
        <w:fldChar w:fldCharType="end"/>
      </w:r>
      <w:r>
        <w:rPr>
          <w:rFonts w:hint="eastAsia" w:ascii="黑体" w:hAnsi="黑体" w:eastAsia="黑体" w:cs="黑体"/>
        </w:rPr>
        <w:fldChar w:fldCharType="end"/>
      </w:r>
    </w:p>
    <w:p w14:paraId="7B1002F0">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_Toc15115 </w:instrText>
      </w:r>
      <w:r>
        <w:rPr>
          <w:rFonts w:hint="eastAsia" w:ascii="黑体" w:hAnsi="黑体" w:eastAsia="黑体" w:cs="黑体"/>
        </w:rPr>
        <w:fldChar w:fldCharType="separate"/>
      </w:r>
      <w:r>
        <w:rPr>
          <w:rFonts w:hint="eastAsia" w:ascii="黑体" w:hAnsi="黑体" w:eastAsia="黑体" w:cs="黑体"/>
        </w:rPr>
        <w:t>5.2 开标程序</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_Toc15115 \h </w:instrText>
      </w:r>
      <w:r>
        <w:rPr>
          <w:rFonts w:hint="eastAsia" w:ascii="黑体" w:hAnsi="黑体" w:eastAsia="黑体" w:cs="黑体"/>
        </w:rPr>
        <w:fldChar w:fldCharType="separate"/>
      </w:r>
      <w:r>
        <w:rPr>
          <w:rFonts w:hint="eastAsia" w:ascii="黑体" w:hAnsi="黑体" w:eastAsia="黑体" w:cs="黑体"/>
        </w:rPr>
        <w:t>23</w:t>
      </w:r>
      <w:r>
        <w:rPr>
          <w:rFonts w:hint="eastAsia" w:ascii="黑体" w:hAnsi="黑体" w:eastAsia="黑体" w:cs="黑体"/>
        </w:rPr>
        <w:fldChar w:fldCharType="end"/>
      </w:r>
      <w:r>
        <w:rPr>
          <w:rFonts w:hint="eastAsia" w:ascii="黑体" w:hAnsi="黑体" w:eastAsia="黑体" w:cs="黑体"/>
        </w:rPr>
        <w:fldChar w:fldCharType="end"/>
      </w:r>
    </w:p>
    <w:p w14:paraId="012B735D">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_Toc19592 </w:instrText>
      </w:r>
      <w:r>
        <w:rPr>
          <w:rFonts w:hint="eastAsia" w:ascii="黑体" w:hAnsi="黑体" w:eastAsia="黑体" w:cs="黑体"/>
        </w:rPr>
        <w:fldChar w:fldCharType="separate"/>
      </w:r>
      <w:r>
        <w:rPr>
          <w:rFonts w:hint="eastAsia" w:ascii="黑体" w:hAnsi="黑体" w:eastAsia="黑体" w:cs="黑体"/>
        </w:rPr>
        <w:t>5.3 开标异议</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_Toc19592 \h </w:instrText>
      </w:r>
      <w:r>
        <w:rPr>
          <w:rFonts w:hint="eastAsia" w:ascii="黑体" w:hAnsi="黑体" w:eastAsia="黑体" w:cs="黑体"/>
        </w:rPr>
        <w:fldChar w:fldCharType="separate"/>
      </w:r>
      <w:r>
        <w:rPr>
          <w:rFonts w:hint="eastAsia" w:ascii="黑体" w:hAnsi="黑体" w:eastAsia="黑体" w:cs="黑体"/>
        </w:rPr>
        <w:t>23</w:t>
      </w:r>
      <w:r>
        <w:rPr>
          <w:rFonts w:hint="eastAsia" w:ascii="黑体" w:hAnsi="黑体" w:eastAsia="黑体" w:cs="黑体"/>
        </w:rPr>
        <w:fldChar w:fldCharType="end"/>
      </w:r>
      <w:r>
        <w:rPr>
          <w:rFonts w:hint="eastAsia" w:ascii="黑体" w:hAnsi="黑体" w:eastAsia="黑体" w:cs="黑体"/>
        </w:rPr>
        <w:fldChar w:fldCharType="end"/>
      </w:r>
    </w:p>
    <w:p w14:paraId="6862BFC4">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_Toc5919 </w:instrText>
      </w:r>
      <w:r>
        <w:rPr>
          <w:rFonts w:hint="eastAsia" w:ascii="黑体" w:hAnsi="黑体" w:eastAsia="黑体" w:cs="黑体"/>
        </w:rPr>
        <w:fldChar w:fldCharType="separate"/>
      </w:r>
      <w:r>
        <w:rPr>
          <w:rFonts w:hint="eastAsia" w:ascii="黑体" w:hAnsi="黑体" w:eastAsia="黑体" w:cs="黑体"/>
        </w:rPr>
        <w:t>6. 评标</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_Toc5919 \h </w:instrText>
      </w:r>
      <w:r>
        <w:rPr>
          <w:rFonts w:hint="eastAsia" w:ascii="黑体" w:hAnsi="黑体" w:eastAsia="黑体" w:cs="黑体"/>
        </w:rPr>
        <w:fldChar w:fldCharType="separate"/>
      </w:r>
      <w:r>
        <w:rPr>
          <w:rFonts w:hint="eastAsia" w:ascii="黑体" w:hAnsi="黑体" w:eastAsia="黑体" w:cs="黑体"/>
        </w:rPr>
        <w:t>23</w:t>
      </w:r>
      <w:r>
        <w:rPr>
          <w:rFonts w:hint="eastAsia" w:ascii="黑体" w:hAnsi="黑体" w:eastAsia="黑体" w:cs="黑体"/>
        </w:rPr>
        <w:fldChar w:fldCharType="end"/>
      </w:r>
      <w:r>
        <w:rPr>
          <w:rFonts w:hint="eastAsia" w:ascii="黑体" w:hAnsi="黑体" w:eastAsia="黑体" w:cs="黑体"/>
        </w:rPr>
        <w:fldChar w:fldCharType="end"/>
      </w:r>
    </w:p>
    <w:p w14:paraId="21EDB037">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_Toc2467 </w:instrText>
      </w:r>
      <w:r>
        <w:rPr>
          <w:rFonts w:hint="eastAsia" w:ascii="黑体" w:hAnsi="黑体" w:eastAsia="黑体" w:cs="黑体"/>
        </w:rPr>
        <w:fldChar w:fldCharType="separate"/>
      </w:r>
      <w:r>
        <w:rPr>
          <w:rFonts w:hint="eastAsia" w:ascii="黑体" w:hAnsi="黑体" w:eastAsia="黑体" w:cs="黑体"/>
        </w:rPr>
        <w:t>6.1 评标委员会</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_Toc2467 \h </w:instrText>
      </w:r>
      <w:r>
        <w:rPr>
          <w:rFonts w:hint="eastAsia" w:ascii="黑体" w:hAnsi="黑体" w:eastAsia="黑体" w:cs="黑体"/>
        </w:rPr>
        <w:fldChar w:fldCharType="separate"/>
      </w:r>
      <w:r>
        <w:rPr>
          <w:rFonts w:hint="eastAsia" w:ascii="黑体" w:hAnsi="黑体" w:eastAsia="黑体" w:cs="黑体"/>
        </w:rPr>
        <w:t>23</w:t>
      </w:r>
      <w:r>
        <w:rPr>
          <w:rFonts w:hint="eastAsia" w:ascii="黑体" w:hAnsi="黑体" w:eastAsia="黑体" w:cs="黑体"/>
        </w:rPr>
        <w:fldChar w:fldCharType="end"/>
      </w:r>
      <w:r>
        <w:rPr>
          <w:rFonts w:hint="eastAsia" w:ascii="黑体" w:hAnsi="黑体" w:eastAsia="黑体" w:cs="黑体"/>
        </w:rPr>
        <w:fldChar w:fldCharType="end"/>
      </w:r>
    </w:p>
    <w:p w14:paraId="1041E20F">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_Toc3308 </w:instrText>
      </w:r>
      <w:r>
        <w:rPr>
          <w:rFonts w:hint="eastAsia" w:ascii="黑体" w:hAnsi="黑体" w:eastAsia="黑体" w:cs="黑体"/>
        </w:rPr>
        <w:fldChar w:fldCharType="separate"/>
      </w:r>
      <w:r>
        <w:rPr>
          <w:rFonts w:hint="eastAsia" w:ascii="黑体" w:hAnsi="黑体" w:eastAsia="黑体" w:cs="黑体"/>
        </w:rPr>
        <w:t>6.2 评标原则</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_Toc3308 \h </w:instrText>
      </w:r>
      <w:r>
        <w:rPr>
          <w:rFonts w:hint="eastAsia" w:ascii="黑体" w:hAnsi="黑体" w:eastAsia="黑体" w:cs="黑体"/>
        </w:rPr>
        <w:fldChar w:fldCharType="separate"/>
      </w:r>
      <w:r>
        <w:rPr>
          <w:rFonts w:hint="eastAsia" w:ascii="黑体" w:hAnsi="黑体" w:eastAsia="黑体" w:cs="黑体"/>
        </w:rPr>
        <w:t>24</w:t>
      </w:r>
      <w:r>
        <w:rPr>
          <w:rFonts w:hint="eastAsia" w:ascii="黑体" w:hAnsi="黑体" w:eastAsia="黑体" w:cs="黑体"/>
        </w:rPr>
        <w:fldChar w:fldCharType="end"/>
      </w:r>
      <w:r>
        <w:rPr>
          <w:rFonts w:hint="eastAsia" w:ascii="黑体" w:hAnsi="黑体" w:eastAsia="黑体" w:cs="黑体"/>
        </w:rPr>
        <w:fldChar w:fldCharType="end"/>
      </w:r>
    </w:p>
    <w:p w14:paraId="41ADAE83">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_Toc15744 </w:instrText>
      </w:r>
      <w:r>
        <w:rPr>
          <w:rFonts w:hint="eastAsia" w:ascii="黑体" w:hAnsi="黑体" w:eastAsia="黑体" w:cs="黑体"/>
        </w:rPr>
        <w:fldChar w:fldCharType="separate"/>
      </w:r>
      <w:r>
        <w:rPr>
          <w:rFonts w:hint="eastAsia" w:ascii="黑体" w:hAnsi="黑体" w:eastAsia="黑体" w:cs="黑体"/>
        </w:rPr>
        <w:t>6.3 评标</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_Toc15744 \h </w:instrText>
      </w:r>
      <w:r>
        <w:rPr>
          <w:rFonts w:hint="eastAsia" w:ascii="黑体" w:hAnsi="黑体" w:eastAsia="黑体" w:cs="黑体"/>
        </w:rPr>
        <w:fldChar w:fldCharType="separate"/>
      </w:r>
      <w:r>
        <w:rPr>
          <w:rFonts w:hint="eastAsia" w:ascii="黑体" w:hAnsi="黑体" w:eastAsia="黑体" w:cs="黑体"/>
        </w:rPr>
        <w:t>24</w:t>
      </w:r>
      <w:r>
        <w:rPr>
          <w:rFonts w:hint="eastAsia" w:ascii="黑体" w:hAnsi="黑体" w:eastAsia="黑体" w:cs="黑体"/>
        </w:rPr>
        <w:fldChar w:fldCharType="end"/>
      </w:r>
      <w:r>
        <w:rPr>
          <w:rFonts w:hint="eastAsia" w:ascii="黑体" w:hAnsi="黑体" w:eastAsia="黑体" w:cs="黑体"/>
        </w:rPr>
        <w:fldChar w:fldCharType="end"/>
      </w:r>
    </w:p>
    <w:p w14:paraId="200CF8B7">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_Toc23467 </w:instrText>
      </w:r>
      <w:r>
        <w:rPr>
          <w:rFonts w:hint="eastAsia" w:ascii="黑体" w:hAnsi="黑体" w:eastAsia="黑体" w:cs="黑体"/>
        </w:rPr>
        <w:fldChar w:fldCharType="separate"/>
      </w:r>
      <w:r>
        <w:rPr>
          <w:rFonts w:hint="eastAsia" w:ascii="黑体" w:hAnsi="黑体" w:eastAsia="黑体" w:cs="黑体"/>
          <w:lang w:val="en-US" w:eastAsia="zh-CN"/>
        </w:rPr>
        <w:t>7</w:t>
      </w:r>
      <w:r>
        <w:rPr>
          <w:rFonts w:hint="eastAsia" w:ascii="黑体" w:hAnsi="黑体" w:eastAsia="黑体" w:cs="黑体"/>
        </w:rPr>
        <w:t>. 合同授予</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_Toc23467 \h </w:instrText>
      </w:r>
      <w:r>
        <w:rPr>
          <w:rFonts w:hint="eastAsia" w:ascii="黑体" w:hAnsi="黑体" w:eastAsia="黑体" w:cs="黑体"/>
        </w:rPr>
        <w:fldChar w:fldCharType="separate"/>
      </w:r>
      <w:r>
        <w:rPr>
          <w:rFonts w:hint="eastAsia" w:ascii="黑体" w:hAnsi="黑体" w:eastAsia="黑体" w:cs="黑体"/>
        </w:rPr>
        <w:t>24</w:t>
      </w:r>
      <w:r>
        <w:rPr>
          <w:rFonts w:hint="eastAsia" w:ascii="黑体" w:hAnsi="黑体" w:eastAsia="黑体" w:cs="黑体"/>
        </w:rPr>
        <w:fldChar w:fldCharType="end"/>
      </w:r>
      <w:r>
        <w:rPr>
          <w:rFonts w:hint="eastAsia" w:ascii="黑体" w:hAnsi="黑体" w:eastAsia="黑体" w:cs="黑体"/>
        </w:rPr>
        <w:fldChar w:fldCharType="end"/>
      </w:r>
    </w:p>
    <w:p w14:paraId="79D59D12">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_Toc5096 </w:instrText>
      </w:r>
      <w:r>
        <w:rPr>
          <w:rFonts w:hint="eastAsia" w:ascii="黑体" w:hAnsi="黑体" w:eastAsia="黑体" w:cs="黑体"/>
        </w:rPr>
        <w:fldChar w:fldCharType="separate"/>
      </w:r>
      <w:r>
        <w:rPr>
          <w:rFonts w:hint="eastAsia" w:ascii="黑体" w:hAnsi="黑体" w:eastAsia="黑体" w:cs="黑体"/>
          <w:lang w:val="en-US" w:eastAsia="zh-CN"/>
        </w:rPr>
        <w:t>7</w:t>
      </w:r>
      <w:r>
        <w:rPr>
          <w:rFonts w:hint="eastAsia" w:ascii="黑体" w:hAnsi="黑体" w:eastAsia="黑体" w:cs="黑体"/>
        </w:rPr>
        <w:t>.1 中标候选人公示</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_Toc5096 \h </w:instrText>
      </w:r>
      <w:r>
        <w:rPr>
          <w:rFonts w:hint="eastAsia" w:ascii="黑体" w:hAnsi="黑体" w:eastAsia="黑体" w:cs="黑体"/>
        </w:rPr>
        <w:fldChar w:fldCharType="separate"/>
      </w:r>
      <w:r>
        <w:rPr>
          <w:rFonts w:hint="eastAsia" w:ascii="黑体" w:hAnsi="黑体" w:eastAsia="黑体" w:cs="黑体"/>
        </w:rPr>
        <w:t>24</w:t>
      </w:r>
      <w:r>
        <w:rPr>
          <w:rFonts w:hint="eastAsia" w:ascii="黑体" w:hAnsi="黑体" w:eastAsia="黑体" w:cs="黑体"/>
        </w:rPr>
        <w:fldChar w:fldCharType="end"/>
      </w:r>
      <w:r>
        <w:rPr>
          <w:rFonts w:hint="eastAsia" w:ascii="黑体" w:hAnsi="黑体" w:eastAsia="黑体" w:cs="黑体"/>
        </w:rPr>
        <w:fldChar w:fldCharType="end"/>
      </w:r>
    </w:p>
    <w:p w14:paraId="49C4BD09">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_Toc2980 </w:instrText>
      </w:r>
      <w:r>
        <w:rPr>
          <w:rFonts w:hint="eastAsia" w:ascii="黑体" w:hAnsi="黑体" w:eastAsia="黑体" w:cs="黑体"/>
        </w:rPr>
        <w:fldChar w:fldCharType="separate"/>
      </w:r>
      <w:r>
        <w:rPr>
          <w:rFonts w:hint="eastAsia" w:ascii="黑体" w:hAnsi="黑体" w:eastAsia="黑体" w:cs="黑体"/>
          <w:lang w:val="en-US" w:eastAsia="zh-CN"/>
        </w:rPr>
        <w:t>7</w:t>
      </w:r>
      <w:r>
        <w:rPr>
          <w:rFonts w:hint="eastAsia" w:ascii="黑体" w:hAnsi="黑体" w:eastAsia="黑体" w:cs="黑体"/>
        </w:rPr>
        <w:t>.2 评标结果异议</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_Toc2980 \h </w:instrText>
      </w:r>
      <w:r>
        <w:rPr>
          <w:rFonts w:hint="eastAsia" w:ascii="黑体" w:hAnsi="黑体" w:eastAsia="黑体" w:cs="黑体"/>
        </w:rPr>
        <w:fldChar w:fldCharType="separate"/>
      </w:r>
      <w:r>
        <w:rPr>
          <w:rFonts w:hint="eastAsia" w:ascii="黑体" w:hAnsi="黑体" w:eastAsia="黑体" w:cs="黑体"/>
        </w:rPr>
        <w:t>24</w:t>
      </w:r>
      <w:r>
        <w:rPr>
          <w:rFonts w:hint="eastAsia" w:ascii="黑体" w:hAnsi="黑体" w:eastAsia="黑体" w:cs="黑体"/>
        </w:rPr>
        <w:fldChar w:fldCharType="end"/>
      </w:r>
      <w:r>
        <w:rPr>
          <w:rFonts w:hint="eastAsia" w:ascii="黑体" w:hAnsi="黑体" w:eastAsia="黑体" w:cs="黑体"/>
        </w:rPr>
        <w:fldChar w:fldCharType="end"/>
      </w:r>
    </w:p>
    <w:p w14:paraId="3E9584AB">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_Toc30979 </w:instrText>
      </w:r>
      <w:r>
        <w:rPr>
          <w:rFonts w:hint="eastAsia" w:ascii="黑体" w:hAnsi="黑体" w:eastAsia="黑体" w:cs="黑体"/>
        </w:rPr>
        <w:fldChar w:fldCharType="separate"/>
      </w:r>
      <w:r>
        <w:rPr>
          <w:rFonts w:hint="eastAsia" w:ascii="黑体" w:hAnsi="黑体" w:eastAsia="黑体" w:cs="黑体"/>
          <w:lang w:val="en-US" w:eastAsia="zh-CN"/>
        </w:rPr>
        <w:t>7</w:t>
      </w:r>
      <w:r>
        <w:rPr>
          <w:rFonts w:hint="eastAsia" w:ascii="黑体" w:hAnsi="黑体" w:eastAsia="黑体" w:cs="黑体"/>
        </w:rPr>
        <w:t>.3 中标候选人履约能力审查</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_Toc30979 \h </w:instrText>
      </w:r>
      <w:r>
        <w:rPr>
          <w:rFonts w:hint="eastAsia" w:ascii="黑体" w:hAnsi="黑体" w:eastAsia="黑体" w:cs="黑体"/>
        </w:rPr>
        <w:fldChar w:fldCharType="separate"/>
      </w:r>
      <w:r>
        <w:rPr>
          <w:rFonts w:hint="eastAsia" w:ascii="黑体" w:hAnsi="黑体" w:eastAsia="黑体" w:cs="黑体"/>
        </w:rPr>
        <w:t>24</w:t>
      </w:r>
      <w:r>
        <w:rPr>
          <w:rFonts w:hint="eastAsia" w:ascii="黑体" w:hAnsi="黑体" w:eastAsia="黑体" w:cs="黑体"/>
        </w:rPr>
        <w:fldChar w:fldCharType="end"/>
      </w:r>
      <w:r>
        <w:rPr>
          <w:rFonts w:hint="eastAsia" w:ascii="黑体" w:hAnsi="黑体" w:eastAsia="黑体" w:cs="黑体"/>
        </w:rPr>
        <w:fldChar w:fldCharType="end"/>
      </w:r>
    </w:p>
    <w:p w14:paraId="5F4D31F5">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_Toc20832 </w:instrText>
      </w:r>
      <w:r>
        <w:rPr>
          <w:rFonts w:hint="eastAsia" w:ascii="黑体" w:hAnsi="黑体" w:eastAsia="黑体" w:cs="黑体"/>
        </w:rPr>
        <w:fldChar w:fldCharType="separate"/>
      </w:r>
      <w:r>
        <w:rPr>
          <w:rFonts w:hint="eastAsia" w:ascii="黑体" w:hAnsi="黑体" w:eastAsia="黑体" w:cs="黑体"/>
          <w:lang w:val="en-US" w:eastAsia="zh-CN"/>
        </w:rPr>
        <w:t>7</w:t>
      </w:r>
      <w:r>
        <w:rPr>
          <w:rFonts w:hint="eastAsia" w:ascii="黑体" w:hAnsi="黑体" w:eastAsia="黑体" w:cs="黑体"/>
        </w:rPr>
        <w:t>.</w:t>
      </w:r>
      <w:r>
        <w:rPr>
          <w:rFonts w:hint="eastAsia" w:ascii="黑体" w:hAnsi="黑体" w:eastAsia="黑体" w:cs="黑体"/>
          <w:lang w:val="en-US" w:eastAsia="zh-CN"/>
        </w:rPr>
        <w:t>4</w:t>
      </w:r>
      <w:r>
        <w:rPr>
          <w:rFonts w:hint="eastAsia" w:ascii="黑体" w:hAnsi="黑体" w:eastAsia="黑体" w:cs="黑体"/>
        </w:rPr>
        <w:t xml:space="preserve"> 中标通知</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_Toc20832 \h </w:instrText>
      </w:r>
      <w:r>
        <w:rPr>
          <w:rFonts w:hint="eastAsia" w:ascii="黑体" w:hAnsi="黑体" w:eastAsia="黑体" w:cs="黑体"/>
        </w:rPr>
        <w:fldChar w:fldCharType="separate"/>
      </w:r>
      <w:r>
        <w:rPr>
          <w:rFonts w:hint="eastAsia" w:ascii="黑体" w:hAnsi="黑体" w:eastAsia="黑体" w:cs="黑体"/>
        </w:rPr>
        <w:t>25</w:t>
      </w:r>
      <w:r>
        <w:rPr>
          <w:rFonts w:hint="eastAsia" w:ascii="黑体" w:hAnsi="黑体" w:eastAsia="黑体" w:cs="黑体"/>
        </w:rPr>
        <w:fldChar w:fldCharType="end"/>
      </w:r>
      <w:r>
        <w:rPr>
          <w:rFonts w:hint="eastAsia" w:ascii="黑体" w:hAnsi="黑体" w:eastAsia="黑体" w:cs="黑体"/>
        </w:rPr>
        <w:fldChar w:fldCharType="end"/>
      </w:r>
    </w:p>
    <w:p w14:paraId="4231671A">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_Toc19530 </w:instrText>
      </w:r>
      <w:r>
        <w:rPr>
          <w:rFonts w:hint="eastAsia" w:ascii="黑体" w:hAnsi="黑体" w:eastAsia="黑体" w:cs="黑体"/>
        </w:rPr>
        <w:fldChar w:fldCharType="separate"/>
      </w:r>
      <w:r>
        <w:rPr>
          <w:rFonts w:hint="eastAsia" w:ascii="黑体" w:hAnsi="黑体" w:eastAsia="黑体" w:cs="黑体"/>
          <w:lang w:val="en-US" w:eastAsia="zh-CN"/>
        </w:rPr>
        <w:t>7</w:t>
      </w:r>
      <w:r>
        <w:rPr>
          <w:rFonts w:hint="eastAsia" w:ascii="黑体" w:hAnsi="黑体" w:eastAsia="黑体" w:cs="黑体"/>
        </w:rPr>
        <w:t>.</w:t>
      </w:r>
      <w:r>
        <w:rPr>
          <w:rFonts w:hint="eastAsia" w:ascii="黑体" w:hAnsi="黑体" w:eastAsia="黑体" w:cs="黑体"/>
          <w:lang w:val="en-US" w:eastAsia="zh-CN"/>
        </w:rPr>
        <w:t>5</w:t>
      </w:r>
      <w:r>
        <w:rPr>
          <w:rFonts w:hint="eastAsia" w:ascii="黑体" w:hAnsi="黑体" w:eastAsia="黑体" w:cs="黑体"/>
        </w:rPr>
        <w:t xml:space="preserve"> 履约保证金</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_Toc19530 \h </w:instrText>
      </w:r>
      <w:r>
        <w:rPr>
          <w:rFonts w:hint="eastAsia" w:ascii="黑体" w:hAnsi="黑体" w:eastAsia="黑体" w:cs="黑体"/>
        </w:rPr>
        <w:fldChar w:fldCharType="separate"/>
      </w:r>
      <w:r>
        <w:rPr>
          <w:rFonts w:hint="eastAsia" w:ascii="黑体" w:hAnsi="黑体" w:eastAsia="黑体" w:cs="黑体"/>
        </w:rPr>
        <w:t>25</w:t>
      </w:r>
      <w:r>
        <w:rPr>
          <w:rFonts w:hint="eastAsia" w:ascii="黑体" w:hAnsi="黑体" w:eastAsia="黑体" w:cs="黑体"/>
        </w:rPr>
        <w:fldChar w:fldCharType="end"/>
      </w:r>
      <w:r>
        <w:rPr>
          <w:rFonts w:hint="eastAsia" w:ascii="黑体" w:hAnsi="黑体" w:eastAsia="黑体" w:cs="黑体"/>
        </w:rPr>
        <w:fldChar w:fldCharType="end"/>
      </w:r>
    </w:p>
    <w:p w14:paraId="77E83FDB">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_Toc24380 </w:instrText>
      </w:r>
      <w:r>
        <w:rPr>
          <w:rFonts w:hint="eastAsia" w:ascii="黑体" w:hAnsi="黑体" w:eastAsia="黑体" w:cs="黑体"/>
        </w:rPr>
        <w:fldChar w:fldCharType="separate"/>
      </w:r>
      <w:r>
        <w:rPr>
          <w:rFonts w:hint="eastAsia" w:ascii="黑体" w:hAnsi="黑体" w:eastAsia="黑体" w:cs="黑体"/>
          <w:lang w:val="en-US" w:eastAsia="zh-CN"/>
        </w:rPr>
        <w:t>7</w:t>
      </w:r>
      <w:r>
        <w:rPr>
          <w:rFonts w:hint="eastAsia" w:ascii="黑体" w:hAnsi="黑体" w:eastAsia="黑体" w:cs="黑体"/>
        </w:rPr>
        <w:t>.</w:t>
      </w:r>
      <w:r>
        <w:rPr>
          <w:rFonts w:hint="eastAsia" w:ascii="黑体" w:hAnsi="黑体" w:eastAsia="黑体" w:cs="黑体"/>
          <w:lang w:val="en-US" w:eastAsia="zh-CN"/>
        </w:rPr>
        <w:t>6</w:t>
      </w:r>
      <w:r>
        <w:rPr>
          <w:rFonts w:hint="eastAsia" w:ascii="黑体" w:hAnsi="黑体" w:eastAsia="黑体" w:cs="黑体"/>
        </w:rPr>
        <w:t xml:space="preserve"> 签订合同</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_Toc24380 \h </w:instrText>
      </w:r>
      <w:r>
        <w:rPr>
          <w:rFonts w:hint="eastAsia" w:ascii="黑体" w:hAnsi="黑体" w:eastAsia="黑体" w:cs="黑体"/>
        </w:rPr>
        <w:fldChar w:fldCharType="separate"/>
      </w:r>
      <w:r>
        <w:rPr>
          <w:rFonts w:hint="eastAsia" w:ascii="黑体" w:hAnsi="黑体" w:eastAsia="黑体" w:cs="黑体"/>
        </w:rPr>
        <w:t>25</w:t>
      </w:r>
      <w:r>
        <w:rPr>
          <w:rFonts w:hint="eastAsia" w:ascii="黑体" w:hAnsi="黑体" w:eastAsia="黑体" w:cs="黑体"/>
        </w:rPr>
        <w:fldChar w:fldCharType="end"/>
      </w:r>
      <w:r>
        <w:rPr>
          <w:rFonts w:hint="eastAsia" w:ascii="黑体" w:hAnsi="黑体" w:eastAsia="黑体" w:cs="黑体"/>
        </w:rPr>
        <w:fldChar w:fldCharType="end"/>
      </w:r>
    </w:p>
    <w:p w14:paraId="6ADEB041">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_Toc11335 </w:instrText>
      </w:r>
      <w:r>
        <w:rPr>
          <w:rFonts w:hint="eastAsia" w:ascii="黑体" w:hAnsi="黑体" w:eastAsia="黑体" w:cs="黑体"/>
        </w:rPr>
        <w:fldChar w:fldCharType="separate"/>
      </w:r>
      <w:r>
        <w:rPr>
          <w:rFonts w:hint="eastAsia" w:ascii="黑体" w:hAnsi="黑体" w:eastAsia="黑体" w:cs="黑体"/>
          <w:lang w:val="en-US" w:eastAsia="zh-CN"/>
        </w:rPr>
        <w:t>8</w:t>
      </w:r>
      <w:r>
        <w:rPr>
          <w:rFonts w:hint="eastAsia" w:ascii="黑体" w:hAnsi="黑体" w:eastAsia="黑体" w:cs="黑体"/>
        </w:rPr>
        <w:t>.纪律和监督</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_Toc11335 \h </w:instrText>
      </w:r>
      <w:r>
        <w:rPr>
          <w:rFonts w:hint="eastAsia" w:ascii="黑体" w:hAnsi="黑体" w:eastAsia="黑体" w:cs="黑体"/>
        </w:rPr>
        <w:fldChar w:fldCharType="separate"/>
      </w:r>
      <w:r>
        <w:rPr>
          <w:rFonts w:hint="eastAsia" w:ascii="黑体" w:hAnsi="黑体" w:eastAsia="黑体" w:cs="黑体"/>
        </w:rPr>
        <w:t>25</w:t>
      </w:r>
      <w:r>
        <w:rPr>
          <w:rFonts w:hint="eastAsia" w:ascii="黑体" w:hAnsi="黑体" w:eastAsia="黑体" w:cs="黑体"/>
        </w:rPr>
        <w:fldChar w:fldCharType="end"/>
      </w:r>
      <w:r>
        <w:rPr>
          <w:rFonts w:hint="eastAsia" w:ascii="黑体" w:hAnsi="黑体" w:eastAsia="黑体" w:cs="黑体"/>
        </w:rPr>
        <w:fldChar w:fldCharType="end"/>
      </w:r>
    </w:p>
    <w:p w14:paraId="053CB919">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_Toc16561 </w:instrText>
      </w:r>
      <w:r>
        <w:rPr>
          <w:rFonts w:hint="eastAsia" w:ascii="黑体" w:hAnsi="黑体" w:eastAsia="黑体" w:cs="黑体"/>
        </w:rPr>
        <w:fldChar w:fldCharType="separate"/>
      </w:r>
      <w:r>
        <w:rPr>
          <w:rFonts w:hint="eastAsia" w:ascii="黑体" w:hAnsi="黑体" w:eastAsia="黑体" w:cs="黑体"/>
          <w:lang w:val="en-US" w:eastAsia="zh-CN"/>
        </w:rPr>
        <w:t>8</w:t>
      </w:r>
      <w:r>
        <w:rPr>
          <w:rFonts w:hint="eastAsia" w:ascii="黑体" w:hAnsi="黑体" w:eastAsia="黑体" w:cs="黑体"/>
        </w:rPr>
        <w:t>.1 对招标人的纪律要求</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_Toc16561 \h </w:instrText>
      </w:r>
      <w:r>
        <w:rPr>
          <w:rFonts w:hint="eastAsia" w:ascii="黑体" w:hAnsi="黑体" w:eastAsia="黑体" w:cs="黑体"/>
        </w:rPr>
        <w:fldChar w:fldCharType="separate"/>
      </w:r>
      <w:r>
        <w:rPr>
          <w:rFonts w:hint="eastAsia" w:ascii="黑体" w:hAnsi="黑体" w:eastAsia="黑体" w:cs="黑体"/>
        </w:rPr>
        <w:t>25</w:t>
      </w:r>
      <w:r>
        <w:rPr>
          <w:rFonts w:hint="eastAsia" w:ascii="黑体" w:hAnsi="黑体" w:eastAsia="黑体" w:cs="黑体"/>
        </w:rPr>
        <w:fldChar w:fldCharType="end"/>
      </w:r>
      <w:r>
        <w:rPr>
          <w:rFonts w:hint="eastAsia" w:ascii="黑体" w:hAnsi="黑体" w:eastAsia="黑体" w:cs="黑体"/>
        </w:rPr>
        <w:fldChar w:fldCharType="end"/>
      </w:r>
    </w:p>
    <w:p w14:paraId="6506E857">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_Toc10562 </w:instrText>
      </w:r>
      <w:r>
        <w:rPr>
          <w:rFonts w:hint="eastAsia" w:ascii="黑体" w:hAnsi="黑体" w:eastAsia="黑体" w:cs="黑体"/>
        </w:rPr>
        <w:fldChar w:fldCharType="separate"/>
      </w:r>
      <w:r>
        <w:rPr>
          <w:rFonts w:hint="eastAsia" w:ascii="黑体" w:hAnsi="黑体" w:eastAsia="黑体" w:cs="黑体"/>
          <w:lang w:val="en-US" w:eastAsia="zh-CN"/>
        </w:rPr>
        <w:t>8</w:t>
      </w:r>
      <w:r>
        <w:rPr>
          <w:rFonts w:hint="eastAsia" w:ascii="黑体" w:hAnsi="黑体" w:eastAsia="黑体" w:cs="黑体"/>
        </w:rPr>
        <w:t>.2 对投标人的纪律要求</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_Toc10562 \h </w:instrText>
      </w:r>
      <w:r>
        <w:rPr>
          <w:rFonts w:hint="eastAsia" w:ascii="黑体" w:hAnsi="黑体" w:eastAsia="黑体" w:cs="黑体"/>
        </w:rPr>
        <w:fldChar w:fldCharType="separate"/>
      </w:r>
      <w:r>
        <w:rPr>
          <w:rFonts w:hint="eastAsia" w:ascii="黑体" w:hAnsi="黑体" w:eastAsia="黑体" w:cs="黑体"/>
        </w:rPr>
        <w:t>26</w:t>
      </w:r>
      <w:r>
        <w:rPr>
          <w:rFonts w:hint="eastAsia" w:ascii="黑体" w:hAnsi="黑体" w:eastAsia="黑体" w:cs="黑体"/>
        </w:rPr>
        <w:fldChar w:fldCharType="end"/>
      </w:r>
      <w:r>
        <w:rPr>
          <w:rFonts w:hint="eastAsia" w:ascii="黑体" w:hAnsi="黑体" w:eastAsia="黑体" w:cs="黑体"/>
        </w:rPr>
        <w:fldChar w:fldCharType="end"/>
      </w:r>
    </w:p>
    <w:p w14:paraId="2DC679B6">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_Toc29907 </w:instrText>
      </w:r>
      <w:r>
        <w:rPr>
          <w:rFonts w:hint="eastAsia" w:ascii="黑体" w:hAnsi="黑体" w:eastAsia="黑体" w:cs="黑体"/>
        </w:rPr>
        <w:fldChar w:fldCharType="separate"/>
      </w:r>
      <w:r>
        <w:rPr>
          <w:rFonts w:hint="eastAsia" w:ascii="黑体" w:hAnsi="黑体" w:eastAsia="黑体" w:cs="黑体"/>
          <w:lang w:val="en-US" w:eastAsia="zh-CN"/>
        </w:rPr>
        <w:t>8</w:t>
      </w:r>
      <w:r>
        <w:rPr>
          <w:rFonts w:hint="eastAsia" w:ascii="黑体" w:hAnsi="黑体" w:eastAsia="黑体" w:cs="黑体"/>
        </w:rPr>
        <w:t>.3 对评标委员会成员的纪律要求</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_Toc29907 \h </w:instrText>
      </w:r>
      <w:r>
        <w:rPr>
          <w:rFonts w:hint="eastAsia" w:ascii="黑体" w:hAnsi="黑体" w:eastAsia="黑体" w:cs="黑体"/>
        </w:rPr>
        <w:fldChar w:fldCharType="separate"/>
      </w:r>
      <w:r>
        <w:rPr>
          <w:rFonts w:hint="eastAsia" w:ascii="黑体" w:hAnsi="黑体" w:eastAsia="黑体" w:cs="黑体"/>
        </w:rPr>
        <w:t>26</w:t>
      </w:r>
      <w:r>
        <w:rPr>
          <w:rFonts w:hint="eastAsia" w:ascii="黑体" w:hAnsi="黑体" w:eastAsia="黑体" w:cs="黑体"/>
        </w:rPr>
        <w:fldChar w:fldCharType="end"/>
      </w:r>
      <w:r>
        <w:rPr>
          <w:rFonts w:hint="eastAsia" w:ascii="黑体" w:hAnsi="黑体" w:eastAsia="黑体" w:cs="黑体"/>
        </w:rPr>
        <w:fldChar w:fldCharType="end"/>
      </w:r>
    </w:p>
    <w:p w14:paraId="25C5F8BA">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_Toc24126 </w:instrText>
      </w:r>
      <w:r>
        <w:rPr>
          <w:rFonts w:hint="eastAsia" w:ascii="黑体" w:hAnsi="黑体" w:eastAsia="黑体" w:cs="黑体"/>
        </w:rPr>
        <w:fldChar w:fldCharType="separate"/>
      </w:r>
      <w:r>
        <w:rPr>
          <w:rFonts w:hint="eastAsia" w:ascii="黑体" w:hAnsi="黑体" w:eastAsia="黑体" w:cs="黑体"/>
          <w:lang w:val="en-US" w:eastAsia="zh-CN"/>
        </w:rPr>
        <w:t>8</w:t>
      </w:r>
      <w:r>
        <w:rPr>
          <w:rFonts w:hint="eastAsia" w:ascii="黑体" w:hAnsi="黑体" w:eastAsia="黑体" w:cs="黑体"/>
        </w:rPr>
        <w:t>.4 对与评标活动有关的工作人员的纪律要求</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_Toc24126 \h </w:instrText>
      </w:r>
      <w:r>
        <w:rPr>
          <w:rFonts w:hint="eastAsia" w:ascii="黑体" w:hAnsi="黑体" w:eastAsia="黑体" w:cs="黑体"/>
        </w:rPr>
        <w:fldChar w:fldCharType="separate"/>
      </w:r>
      <w:r>
        <w:rPr>
          <w:rFonts w:hint="eastAsia" w:ascii="黑体" w:hAnsi="黑体" w:eastAsia="黑体" w:cs="黑体"/>
        </w:rPr>
        <w:t>26</w:t>
      </w:r>
      <w:r>
        <w:rPr>
          <w:rFonts w:hint="eastAsia" w:ascii="黑体" w:hAnsi="黑体" w:eastAsia="黑体" w:cs="黑体"/>
        </w:rPr>
        <w:fldChar w:fldCharType="end"/>
      </w:r>
      <w:r>
        <w:rPr>
          <w:rFonts w:hint="eastAsia" w:ascii="黑体" w:hAnsi="黑体" w:eastAsia="黑体" w:cs="黑体"/>
        </w:rPr>
        <w:fldChar w:fldCharType="end"/>
      </w:r>
    </w:p>
    <w:p w14:paraId="224B27E3">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_Toc27094 </w:instrText>
      </w:r>
      <w:r>
        <w:rPr>
          <w:rFonts w:hint="eastAsia" w:ascii="黑体" w:hAnsi="黑体" w:eastAsia="黑体" w:cs="黑体"/>
        </w:rPr>
        <w:fldChar w:fldCharType="separate"/>
      </w:r>
      <w:r>
        <w:rPr>
          <w:rFonts w:hint="eastAsia" w:ascii="黑体" w:hAnsi="黑体" w:eastAsia="黑体" w:cs="黑体"/>
          <w:lang w:val="en-US" w:eastAsia="zh-CN"/>
        </w:rPr>
        <w:t>8</w:t>
      </w:r>
      <w:r>
        <w:rPr>
          <w:rFonts w:hint="eastAsia" w:ascii="黑体" w:hAnsi="黑体" w:eastAsia="黑体" w:cs="黑体"/>
        </w:rPr>
        <w:t>.5 投诉</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_Toc27094 \h </w:instrText>
      </w:r>
      <w:r>
        <w:rPr>
          <w:rFonts w:hint="eastAsia" w:ascii="黑体" w:hAnsi="黑体" w:eastAsia="黑体" w:cs="黑体"/>
        </w:rPr>
        <w:fldChar w:fldCharType="separate"/>
      </w:r>
      <w:r>
        <w:rPr>
          <w:rFonts w:hint="eastAsia" w:ascii="黑体" w:hAnsi="黑体" w:eastAsia="黑体" w:cs="黑体"/>
        </w:rPr>
        <w:t>26</w:t>
      </w:r>
      <w:r>
        <w:rPr>
          <w:rFonts w:hint="eastAsia" w:ascii="黑体" w:hAnsi="黑体" w:eastAsia="黑体" w:cs="黑体"/>
        </w:rPr>
        <w:fldChar w:fldCharType="end"/>
      </w:r>
      <w:r>
        <w:rPr>
          <w:rFonts w:hint="eastAsia" w:ascii="黑体" w:hAnsi="黑体" w:eastAsia="黑体" w:cs="黑体"/>
        </w:rPr>
        <w:fldChar w:fldCharType="end"/>
      </w:r>
    </w:p>
    <w:p w14:paraId="1EECEB0D">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_Toc10996 </w:instrText>
      </w:r>
      <w:r>
        <w:rPr>
          <w:rFonts w:hint="eastAsia" w:ascii="黑体" w:hAnsi="黑体" w:eastAsia="黑体" w:cs="黑体"/>
        </w:rPr>
        <w:fldChar w:fldCharType="separate"/>
      </w:r>
      <w:r>
        <w:rPr>
          <w:rFonts w:hint="eastAsia" w:ascii="黑体" w:hAnsi="黑体" w:eastAsia="黑体" w:cs="黑体"/>
          <w:lang w:val="en-US" w:eastAsia="zh-CN"/>
        </w:rPr>
        <w:t>9</w:t>
      </w:r>
      <w:r>
        <w:rPr>
          <w:rFonts w:hint="eastAsia" w:ascii="黑体" w:hAnsi="黑体" w:eastAsia="黑体" w:cs="黑体"/>
        </w:rPr>
        <w:t>. 是否采用电子招标投标</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_Toc10996 \h </w:instrText>
      </w:r>
      <w:r>
        <w:rPr>
          <w:rFonts w:hint="eastAsia" w:ascii="黑体" w:hAnsi="黑体" w:eastAsia="黑体" w:cs="黑体"/>
        </w:rPr>
        <w:fldChar w:fldCharType="separate"/>
      </w:r>
      <w:r>
        <w:rPr>
          <w:rFonts w:hint="eastAsia" w:ascii="黑体" w:hAnsi="黑体" w:eastAsia="黑体" w:cs="黑体"/>
        </w:rPr>
        <w:t>26</w:t>
      </w:r>
      <w:r>
        <w:rPr>
          <w:rFonts w:hint="eastAsia" w:ascii="黑体" w:hAnsi="黑体" w:eastAsia="黑体" w:cs="黑体"/>
        </w:rPr>
        <w:fldChar w:fldCharType="end"/>
      </w:r>
      <w:r>
        <w:rPr>
          <w:rFonts w:hint="eastAsia" w:ascii="黑体" w:hAnsi="黑体" w:eastAsia="黑体" w:cs="黑体"/>
        </w:rPr>
        <w:fldChar w:fldCharType="end"/>
      </w:r>
    </w:p>
    <w:p w14:paraId="4753F721">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_Toc18836 </w:instrText>
      </w:r>
      <w:r>
        <w:rPr>
          <w:rFonts w:hint="eastAsia" w:ascii="黑体" w:hAnsi="黑体" w:eastAsia="黑体" w:cs="黑体"/>
        </w:rPr>
        <w:fldChar w:fldCharType="separate"/>
      </w:r>
      <w:r>
        <w:rPr>
          <w:rFonts w:hint="eastAsia" w:ascii="黑体" w:hAnsi="黑体" w:eastAsia="黑体" w:cs="黑体"/>
        </w:rPr>
        <w:t>1</w:t>
      </w:r>
      <w:r>
        <w:rPr>
          <w:rFonts w:hint="eastAsia" w:ascii="黑体" w:hAnsi="黑体" w:eastAsia="黑体" w:cs="黑体"/>
          <w:lang w:val="en-US" w:eastAsia="zh-CN"/>
        </w:rPr>
        <w:t>0</w:t>
      </w:r>
      <w:r>
        <w:rPr>
          <w:rFonts w:hint="eastAsia" w:ascii="黑体" w:hAnsi="黑体" w:eastAsia="黑体" w:cs="黑体"/>
        </w:rPr>
        <w:t>. 需要补充的其他内容</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_Toc18836 \h </w:instrText>
      </w:r>
      <w:r>
        <w:rPr>
          <w:rFonts w:hint="eastAsia" w:ascii="黑体" w:hAnsi="黑体" w:eastAsia="黑体" w:cs="黑体"/>
        </w:rPr>
        <w:fldChar w:fldCharType="separate"/>
      </w:r>
      <w:r>
        <w:rPr>
          <w:rFonts w:hint="eastAsia" w:ascii="黑体" w:hAnsi="黑体" w:eastAsia="黑体" w:cs="黑体"/>
        </w:rPr>
        <w:t>26</w:t>
      </w:r>
      <w:r>
        <w:rPr>
          <w:rFonts w:hint="eastAsia" w:ascii="黑体" w:hAnsi="黑体" w:eastAsia="黑体" w:cs="黑体"/>
        </w:rPr>
        <w:fldChar w:fldCharType="end"/>
      </w:r>
      <w:r>
        <w:rPr>
          <w:rFonts w:hint="eastAsia" w:ascii="黑体" w:hAnsi="黑体" w:eastAsia="黑体" w:cs="黑体"/>
        </w:rPr>
        <w:fldChar w:fldCharType="end"/>
      </w:r>
    </w:p>
    <w:p w14:paraId="1C0F3F1B">
      <w:pPr>
        <w:pStyle w:val="18"/>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_Toc24250 </w:instrText>
      </w:r>
      <w:r>
        <w:rPr>
          <w:rFonts w:hint="eastAsia" w:ascii="黑体" w:hAnsi="黑体" w:eastAsia="黑体" w:cs="黑体"/>
        </w:rPr>
        <w:fldChar w:fldCharType="separate"/>
      </w:r>
      <w:r>
        <w:rPr>
          <w:rFonts w:hint="eastAsia" w:ascii="黑体" w:hAnsi="黑体" w:eastAsia="黑体" w:cs="黑体"/>
        </w:rPr>
        <w:t>第三章评标办法（</w:t>
      </w:r>
      <w:r>
        <w:rPr>
          <w:rFonts w:hint="eastAsia" w:ascii="黑体" w:hAnsi="黑体" w:eastAsia="黑体" w:cs="黑体"/>
          <w:lang w:val="en-US" w:eastAsia="zh-CN"/>
        </w:rPr>
        <w:t>材料采购</w:t>
      </w:r>
      <w:r>
        <w:rPr>
          <w:rFonts w:hint="eastAsia" w:ascii="黑体" w:hAnsi="黑体" w:eastAsia="黑体" w:cs="黑体"/>
        </w:rPr>
        <w:t>综合评估法）</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_Toc24250 \h </w:instrText>
      </w:r>
      <w:r>
        <w:rPr>
          <w:rFonts w:hint="eastAsia" w:ascii="黑体" w:hAnsi="黑体" w:eastAsia="黑体" w:cs="黑体"/>
        </w:rPr>
        <w:fldChar w:fldCharType="separate"/>
      </w:r>
      <w:r>
        <w:rPr>
          <w:rFonts w:hint="eastAsia" w:ascii="黑体" w:hAnsi="黑体" w:eastAsia="黑体" w:cs="黑体"/>
        </w:rPr>
        <w:t>27</w:t>
      </w:r>
      <w:r>
        <w:rPr>
          <w:rFonts w:hint="eastAsia" w:ascii="黑体" w:hAnsi="黑体" w:eastAsia="黑体" w:cs="黑体"/>
        </w:rPr>
        <w:fldChar w:fldCharType="end"/>
      </w:r>
      <w:r>
        <w:rPr>
          <w:rFonts w:hint="eastAsia" w:ascii="黑体" w:hAnsi="黑体" w:eastAsia="黑体" w:cs="黑体"/>
        </w:rPr>
        <w:fldChar w:fldCharType="end"/>
      </w:r>
    </w:p>
    <w:p w14:paraId="2DF91117">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_Toc18280 </w:instrText>
      </w:r>
      <w:r>
        <w:rPr>
          <w:rFonts w:hint="eastAsia" w:ascii="黑体" w:hAnsi="黑体" w:eastAsia="黑体" w:cs="黑体"/>
        </w:rPr>
        <w:fldChar w:fldCharType="separate"/>
      </w:r>
      <w:r>
        <w:rPr>
          <w:rFonts w:hint="eastAsia" w:ascii="黑体" w:hAnsi="黑体" w:eastAsia="黑体" w:cs="黑体"/>
        </w:rPr>
        <w:t>评标办法前附表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_Toc18280 \h </w:instrText>
      </w:r>
      <w:r>
        <w:rPr>
          <w:rFonts w:hint="eastAsia" w:ascii="黑体" w:hAnsi="黑体" w:eastAsia="黑体" w:cs="黑体"/>
        </w:rPr>
        <w:fldChar w:fldCharType="separate"/>
      </w:r>
      <w:r>
        <w:rPr>
          <w:rFonts w:hint="eastAsia" w:ascii="黑体" w:hAnsi="黑体" w:eastAsia="黑体" w:cs="黑体"/>
        </w:rPr>
        <w:t>27</w:t>
      </w:r>
      <w:r>
        <w:rPr>
          <w:rFonts w:hint="eastAsia" w:ascii="黑体" w:hAnsi="黑体" w:eastAsia="黑体" w:cs="黑体"/>
        </w:rPr>
        <w:fldChar w:fldCharType="end"/>
      </w:r>
      <w:r>
        <w:rPr>
          <w:rFonts w:hint="eastAsia" w:ascii="黑体" w:hAnsi="黑体" w:eastAsia="黑体" w:cs="黑体"/>
        </w:rPr>
        <w:fldChar w:fldCharType="end"/>
      </w:r>
    </w:p>
    <w:p w14:paraId="7AE6A7F6">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_Toc25453 </w:instrText>
      </w:r>
      <w:r>
        <w:rPr>
          <w:rFonts w:hint="eastAsia" w:ascii="黑体" w:hAnsi="黑体" w:eastAsia="黑体" w:cs="黑体"/>
        </w:rPr>
        <w:fldChar w:fldCharType="separate"/>
      </w:r>
      <w:r>
        <w:rPr>
          <w:rFonts w:hint="eastAsia" w:ascii="黑体" w:hAnsi="黑体" w:eastAsia="黑体" w:cs="黑体"/>
        </w:rPr>
        <w:t>1. 评标方法</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_Toc25453 \h </w:instrText>
      </w:r>
      <w:r>
        <w:rPr>
          <w:rFonts w:hint="eastAsia" w:ascii="黑体" w:hAnsi="黑体" w:eastAsia="黑体" w:cs="黑体"/>
        </w:rPr>
        <w:fldChar w:fldCharType="separate"/>
      </w:r>
      <w:r>
        <w:rPr>
          <w:rFonts w:hint="eastAsia" w:ascii="黑体" w:hAnsi="黑体" w:eastAsia="黑体" w:cs="黑体"/>
        </w:rPr>
        <w:t>30</w:t>
      </w:r>
      <w:r>
        <w:rPr>
          <w:rFonts w:hint="eastAsia" w:ascii="黑体" w:hAnsi="黑体" w:eastAsia="黑体" w:cs="黑体"/>
        </w:rPr>
        <w:fldChar w:fldCharType="end"/>
      </w:r>
      <w:r>
        <w:rPr>
          <w:rFonts w:hint="eastAsia" w:ascii="黑体" w:hAnsi="黑体" w:eastAsia="黑体" w:cs="黑体"/>
        </w:rPr>
        <w:fldChar w:fldCharType="end"/>
      </w:r>
    </w:p>
    <w:p w14:paraId="0FEBE733">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_Toc25061 </w:instrText>
      </w:r>
      <w:r>
        <w:rPr>
          <w:rFonts w:hint="eastAsia" w:ascii="黑体" w:hAnsi="黑体" w:eastAsia="黑体" w:cs="黑体"/>
        </w:rPr>
        <w:fldChar w:fldCharType="separate"/>
      </w:r>
      <w:r>
        <w:rPr>
          <w:rFonts w:hint="eastAsia" w:ascii="黑体" w:hAnsi="黑体" w:eastAsia="黑体" w:cs="黑体"/>
        </w:rPr>
        <w:t>2. 评审标准</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_Toc25061 \h </w:instrText>
      </w:r>
      <w:r>
        <w:rPr>
          <w:rFonts w:hint="eastAsia" w:ascii="黑体" w:hAnsi="黑体" w:eastAsia="黑体" w:cs="黑体"/>
        </w:rPr>
        <w:fldChar w:fldCharType="separate"/>
      </w:r>
      <w:r>
        <w:rPr>
          <w:rFonts w:hint="eastAsia" w:ascii="黑体" w:hAnsi="黑体" w:eastAsia="黑体" w:cs="黑体"/>
        </w:rPr>
        <w:t>30</w:t>
      </w:r>
      <w:r>
        <w:rPr>
          <w:rFonts w:hint="eastAsia" w:ascii="黑体" w:hAnsi="黑体" w:eastAsia="黑体" w:cs="黑体"/>
        </w:rPr>
        <w:fldChar w:fldCharType="end"/>
      </w:r>
      <w:r>
        <w:rPr>
          <w:rFonts w:hint="eastAsia" w:ascii="黑体" w:hAnsi="黑体" w:eastAsia="黑体" w:cs="黑体"/>
        </w:rPr>
        <w:fldChar w:fldCharType="end"/>
      </w:r>
    </w:p>
    <w:p w14:paraId="14E925ED">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_Toc12501 </w:instrText>
      </w:r>
      <w:r>
        <w:rPr>
          <w:rFonts w:hint="eastAsia" w:ascii="黑体" w:hAnsi="黑体" w:eastAsia="黑体" w:cs="黑体"/>
        </w:rPr>
        <w:fldChar w:fldCharType="separate"/>
      </w:r>
      <w:r>
        <w:rPr>
          <w:rFonts w:hint="eastAsia" w:ascii="黑体" w:hAnsi="黑体" w:eastAsia="黑体" w:cs="黑体"/>
        </w:rPr>
        <w:t>2.1 初步评审标准</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_Toc12501 \h </w:instrText>
      </w:r>
      <w:r>
        <w:rPr>
          <w:rFonts w:hint="eastAsia" w:ascii="黑体" w:hAnsi="黑体" w:eastAsia="黑体" w:cs="黑体"/>
        </w:rPr>
        <w:fldChar w:fldCharType="separate"/>
      </w:r>
      <w:r>
        <w:rPr>
          <w:rFonts w:hint="eastAsia" w:ascii="黑体" w:hAnsi="黑体" w:eastAsia="黑体" w:cs="黑体"/>
        </w:rPr>
        <w:t>30</w:t>
      </w:r>
      <w:r>
        <w:rPr>
          <w:rFonts w:hint="eastAsia" w:ascii="黑体" w:hAnsi="黑体" w:eastAsia="黑体" w:cs="黑体"/>
        </w:rPr>
        <w:fldChar w:fldCharType="end"/>
      </w:r>
      <w:r>
        <w:rPr>
          <w:rFonts w:hint="eastAsia" w:ascii="黑体" w:hAnsi="黑体" w:eastAsia="黑体" w:cs="黑体"/>
        </w:rPr>
        <w:fldChar w:fldCharType="end"/>
      </w:r>
    </w:p>
    <w:p w14:paraId="6865D532">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_Toc24363 </w:instrText>
      </w:r>
      <w:r>
        <w:rPr>
          <w:rFonts w:hint="eastAsia" w:ascii="黑体" w:hAnsi="黑体" w:eastAsia="黑体" w:cs="黑体"/>
        </w:rPr>
        <w:fldChar w:fldCharType="separate"/>
      </w:r>
      <w:r>
        <w:rPr>
          <w:rFonts w:hint="eastAsia" w:ascii="黑体" w:hAnsi="黑体" w:eastAsia="黑体" w:cs="黑体"/>
        </w:rPr>
        <w:t>2.2 分值构成与评分标准</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_Toc24363 \h </w:instrText>
      </w:r>
      <w:r>
        <w:rPr>
          <w:rFonts w:hint="eastAsia" w:ascii="黑体" w:hAnsi="黑体" w:eastAsia="黑体" w:cs="黑体"/>
        </w:rPr>
        <w:fldChar w:fldCharType="separate"/>
      </w:r>
      <w:r>
        <w:rPr>
          <w:rFonts w:hint="eastAsia" w:ascii="黑体" w:hAnsi="黑体" w:eastAsia="黑体" w:cs="黑体"/>
        </w:rPr>
        <w:t>30</w:t>
      </w:r>
      <w:r>
        <w:rPr>
          <w:rFonts w:hint="eastAsia" w:ascii="黑体" w:hAnsi="黑体" w:eastAsia="黑体" w:cs="黑体"/>
        </w:rPr>
        <w:fldChar w:fldCharType="end"/>
      </w:r>
      <w:r>
        <w:rPr>
          <w:rFonts w:hint="eastAsia" w:ascii="黑体" w:hAnsi="黑体" w:eastAsia="黑体" w:cs="黑体"/>
        </w:rPr>
        <w:fldChar w:fldCharType="end"/>
      </w:r>
    </w:p>
    <w:p w14:paraId="0072D078">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_Toc21545 </w:instrText>
      </w:r>
      <w:r>
        <w:rPr>
          <w:rFonts w:hint="eastAsia" w:ascii="黑体" w:hAnsi="黑体" w:eastAsia="黑体" w:cs="黑体"/>
        </w:rPr>
        <w:fldChar w:fldCharType="separate"/>
      </w:r>
      <w:r>
        <w:rPr>
          <w:rFonts w:hint="eastAsia" w:ascii="黑体" w:hAnsi="黑体" w:eastAsia="黑体" w:cs="黑体"/>
        </w:rPr>
        <w:t>3. 评标程序</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_Toc21545 \h </w:instrText>
      </w:r>
      <w:r>
        <w:rPr>
          <w:rFonts w:hint="eastAsia" w:ascii="黑体" w:hAnsi="黑体" w:eastAsia="黑体" w:cs="黑体"/>
        </w:rPr>
        <w:fldChar w:fldCharType="separate"/>
      </w:r>
      <w:r>
        <w:rPr>
          <w:rFonts w:hint="eastAsia" w:ascii="黑体" w:hAnsi="黑体" w:eastAsia="黑体" w:cs="黑体"/>
        </w:rPr>
        <w:t>31</w:t>
      </w:r>
      <w:r>
        <w:rPr>
          <w:rFonts w:hint="eastAsia" w:ascii="黑体" w:hAnsi="黑体" w:eastAsia="黑体" w:cs="黑体"/>
        </w:rPr>
        <w:fldChar w:fldCharType="end"/>
      </w:r>
      <w:r>
        <w:rPr>
          <w:rFonts w:hint="eastAsia" w:ascii="黑体" w:hAnsi="黑体" w:eastAsia="黑体" w:cs="黑体"/>
        </w:rPr>
        <w:fldChar w:fldCharType="end"/>
      </w:r>
    </w:p>
    <w:p w14:paraId="242E9540">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_Toc16609 </w:instrText>
      </w:r>
      <w:r>
        <w:rPr>
          <w:rFonts w:hint="eastAsia" w:ascii="黑体" w:hAnsi="黑体" w:eastAsia="黑体" w:cs="黑体"/>
        </w:rPr>
        <w:fldChar w:fldCharType="separate"/>
      </w:r>
      <w:r>
        <w:rPr>
          <w:rFonts w:hint="eastAsia" w:ascii="黑体" w:hAnsi="黑体" w:eastAsia="黑体" w:cs="黑体"/>
        </w:rPr>
        <w:t>3.1 初步评审</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_Toc16609 \h </w:instrText>
      </w:r>
      <w:r>
        <w:rPr>
          <w:rFonts w:hint="eastAsia" w:ascii="黑体" w:hAnsi="黑体" w:eastAsia="黑体" w:cs="黑体"/>
        </w:rPr>
        <w:fldChar w:fldCharType="separate"/>
      </w:r>
      <w:r>
        <w:rPr>
          <w:rFonts w:hint="eastAsia" w:ascii="黑体" w:hAnsi="黑体" w:eastAsia="黑体" w:cs="黑体"/>
        </w:rPr>
        <w:t>31</w:t>
      </w:r>
      <w:r>
        <w:rPr>
          <w:rFonts w:hint="eastAsia" w:ascii="黑体" w:hAnsi="黑体" w:eastAsia="黑体" w:cs="黑体"/>
        </w:rPr>
        <w:fldChar w:fldCharType="end"/>
      </w:r>
      <w:r>
        <w:rPr>
          <w:rFonts w:hint="eastAsia" w:ascii="黑体" w:hAnsi="黑体" w:eastAsia="黑体" w:cs="黑体"/>
        </w:rPr>
        <w:fldChar w:fldCharType="end"/>
      </w:r>
    </w:p>
    <w:p w14:paraId="703ABFDC">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_Toc29840 </w:instrText>
      </w:r>
      <w:r>
        <w:rPr>
          <w:rFonts w:hint="eastAsia" w:ascii="黑体" w:hAnsi="黑体" w:eastAsia="黑体" w:cs="黑体"/>
        </w:rPr>
        <w:fldChar w:fldCharType="separate"/>
      </w:r>
      <w:r>
        <w:rPr>
          <w:rFonts w:hint="eastAsia" w:ascii="黑体" w:hAnsi="黑体" w:eastAsia="黑体" w:cs="黑体"/>
        </w:rPr>
        <w:t>3.2 详细评审</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_Toc29840 \h </w:instrText>
      </w:r>
      <w:r>
        <w:rPr>
          <w:rFonts w:hint="eastAsia" w:ascii="黑体" w:hAnsi="黑体" w:eastAsia="黑体" w:cs="黑体"/>
        </w:rPr>
        <w:fldChar w:fldCharType="separate"/>
      </w:r>
      <w:r>
        <w:rPr>
          <w:rFonts w:hint="eastAsia" w:ascii="黑体" w:hAnsi="黑体" w:eastAsia="黑体" w:cs="黑体"/>
        </w:rPr>
        <w:t>31</w:t>
      </w:r>
      <w:r>
        <w:rPr>
          <w:rFonts w:hint="eastAsia" w:ascii="黑体" w:hAnsi="黑体" w:eastAsia="黑体" w:cs="黑体"/>
        </w:rPr>
        <w:fldChar w:fldCharType="end"/>
      </w:r>
      <w:r>
        <w:rPr>
          <w:rFonts w:hint="eastAsia" w:ascii="黑体" w:hAnsi="黑体" w:eastAsia="黑体" w:cs="黑体"/>
        </w:rPr>
        <w:fldChar w:fldCharType="end"/>
      </w:r>
    </w:p>
    <w:p w14:paraId="0A4FBADE">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_Toc5419 </w:instrText>
      </w:r>
      <w:r>
        <w:rPr>
          <w:rFonts w:hint="eastAsia" w:ascii="黑体" w:hAnsi="黑体" w:eastAsia="黑体" w:cs="黑体"/>
        </w:rPr>
        <w:fldChar w:fldCharType="separate"/>
      </w:r>
      <w:r>
        <w:rPr>
          <w:rFonts w:hint="eastAsia" w:ascii="黑体" w:hAnsi="黑体" w:eastAsia="黑体" w:cs="黑体"/>
        </w:rPr>
        <w:t>3.3 投标文件的澄清</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_Toc5419 \h </w:instrText>
      </w:r>
      <w:r>
        <w:rPr>
          <w:rFonts w:hint="eastAsia" w:ascii="黑体" w:hAnsi="黑体" w:eastAsia="黑体" w:cs="黑体"/>
        </w:rPr>
        <w:fldChar w:fldCharType="separate"/>
      </w:r>
      <w:r>
        <w:rPr>
          <w:rFonts w:hint="eastAsia" w:ascii="黑体" w:hAnsi="黑体" w:eastAsia="黑体" w:cs="黑体"/>
        </w:rPr>
        <w:t>32</w:t>
      </w:r>
      <w:r>
        <w:rPr>
          <w:rFonts w:hint="eastAsia" w:ascii="黑体" w:hAnsi="黑体" w:eastAsia="黑体" w:cs="黑体"/>
        </w:rPr>
        <w:fldChar w:fldCharType="end"/>
      </w:r>
      <w:r>
        <w:rPr>
          <w:rFonts w:hint="eastAsia" w:ascii="黑体" w:hAnsi="黑体" w:eastAsia="黑体" w:cs="黑体"/>
        </w:rPr>
        <w:fldChar w:fldCharType="end"/>
      </w:r>
    </w:p>
    <w:p w14:paraId="44001953">
      <w:pPr>
        <w:pStyle w:val="11"/>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_Toc17624 </w:instrText>
      </w:r>
      <w:r>
        <w:rPr>
          <w:rFonts w:hint="eastAsia" w:ascii="黑体" w:hAnsi="黑体" w:eastAsia="黑体" w:cs="黑体"/>
        </w:rPr>
        <w:fldChar w:fldCharType="separate"/>
      </w:r>
      <w:r>
        <w:rPr>
          <w:rFonts w:hint="eastAsia" w:ascii="黑体" w:hAnsi="黑体" w:eastAsia="黑体" w:cs="黑体"/>
        </w:rPr>
        <w:t>3.4 评标结果</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_Toc17624 \h </w:instrText>
      </w:r>
      <w:r>
        <w:rPr>
          <w:rFonts w:hint="eastAsia" w:ascii="黑体" w:hAnsi="黑体" w:eastAsia="黑体" w:cs="黑体"/>
        </w:rPr>
        <w:fldChar w:fldCharType="separate"/>
      </w:r>
      <w:r>
        <w:rPr>
          <w:rFonts w:hint="eastAsia" w:ascii="黑体" w:hAnsi="黑体" w:eastAsia="黑体" w:cs="黑体"/>
        </w:rPr>
        <w:t>32</w:t>
      </w:r>
      <w:r>
        <w:rPr>
          <w:rFonts w:hint="eastAsia" w:ascii="黑体" w:hAnsi="黑体" w:eastAsia="黑体" w:cs="黑体"/>
        </w:rPr>
        <w:fldChar w:fldCharType="end"/>
      </w:r>
      <w:r>
        <w:rPr>
          <w:rFonts w:hint="eastAsia" w:ascii="黑体" w:hAnsi="黑体" w:eastAsia="黑体" w:cs="黑体"/>
        </w:rPr>
        <w:fldChar w:fldCharType="end"/>
      </w:r>
    </w:p>
    <w:p w14:paraId="6000B9A8">
      <w:pPr>
        <w:pStyle w:val="18"/>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_Toc29705 </w:instrText>
      </w:r>
      <w:r>
        <w:rPr>
          <w:rFonts w:hint="eastAsia" w:ascii="黑体" w:hAnsi="黑体" w:eastAsia="黑体" w:cs="黑体"/>
        </w:rPr>
        <w:fldChar w:fldCharType="separate"/>
      </w:r>
      <w:r>
        <w:rPr>
          <w:rFonts w:hint="eastAsia" w:ascii="黑体" w:hAnsi="黑体" w:eastAsia="黑体" w:cs="黑体"/>
        </w:rPr>
        <w:t>第</w:t>
      </w:r>
      <w:r>
        <w:rPr>
          <w:rFonts w:hint="eastAsia" w:ascii="黑体" w:hAnsi="黑体" w:eastAsia="黑体" w:cs="黑体"/>
          <w:lang w:val="en-US" w:eastAsia="zh-CN"/>
        </w:rPr>
        <w:t>四</w:t>
      </w:r>
      <w:r>
        <w:rPr>
          <w:rFonts w:hint="eastAsia" w:ascii="黑体" w:hAnsi="黑体" w:eastAsia="黑体" w:cs="黑体"/>
        </w:rPr>
        <w:t>章合同条款及格式</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_Toc29705 \h </w:instrText>
      </w:r>
      <w:r>
        <w:rPr>
          <w:rFonts w:hint="eastAsia" w:ascii="黑体" w:hAnsi="黑体" w:eastAsia="黑体" w:cs="黑体"/>
        </w:rPr>
        <w:fldChar w:fldCharType="separate"/>
      </w:r>
      <w:r>
        <w:rPr>
          <w:rFonts w:hint="eastAsia" w:ascii="黑体" w:hAnsi="黑体" w:eastAsia="黑体" w:cs="黑体"/>
        </w:rPr>
        <w:t>33</w:t>
      </w:r>
      <w:r>
        <w:rPr>
          <w:rFonts w:hint="eastAsia" w:ascii="黑体" w:hAnsi="黑体" w:eastAsia="黑体" w:cs="黑体"/>
        </w:rPr>
        <w:fldChar w:fldCharType="end"/>
      </w:r>
      <w:r>
        <w:rPr>
          <w:rFonts w:hint="eastAsia" w:ascii="黑体" w:hAnsi="黑体" w:eastAsia="黑体" w:cs="黑体"/>
        </w:rPr>
        <w:fldChar w:fldCharType="end"/>
      </w:r>
    </w:p>
    <w:p w14:paraId="4A813773">
      <w:pPr>
        <w:pStyle w:val="18"/>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_Toc5050 </w:instrText>
      </w:r>
      <w:r>
        <w:rPr>
          <w:rFonts w:hint="eastAsia" w:ascii="黑体" w:hAnsi="黑体" w:eastAsia="黑体" w:cs="黑体"/>
        </w:rPr>
        <w:fldChar w:fldCharType="separate"/>
      </w:r>
      <w:r>
        <w:rPr>
          <w:rFonts w:hint="eastAsia" w:ascii="黑体" w:hAnsi="黑体" w:eastAsia="黑体" w:cs="黑体"/>
        </w:rPr>
        <w:t>第</w:t>
      </w:r>
      <w:r>
        <w:rPr>
          <w:rFonts w:hint="eastAsia" w:ascii="黑体" w:hAnsi="黑体" w:eastAsia="黑体" w:cs="黑体"/>
          <w:lang w:val="en-US" w:eastAsia="zh-CN"/>
        </w:rPr>
        <w:t>五</w:t>
      </w:r>
      <w:r>
        <w:rPr>
          <w:rFonts w:hint="eastAsia" w:ascii="黑体" w:hAnsi="黑体" w:eastAsia="黑体" w:cs="黑体"/>
        </w:rPr>
        <w:t>章供货要求</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_Toc5050 \h </w:instrText>
      </w:r>
      <w:r>
        <w:rPr>
          <w:rFonts w:hint="eastAsia" w:ascii="黑体" w:hAnsi="黑体" w:eastAsia="黑体" w:cs="黑体"/>
        </w:rPr>
        <w:fldChar w:fldCharType="separate"/>
      </w:r>
      <w:r>
        <w:rPr>
          <w:rFonts w:hint="eastAsia" w:ascii="黑体" w:hAnsi="黑体" w:eastAsia="黑体" w:cs="黑体"/>
        </w:rPr>
        <w:t>34</w:t>
      </w:r>
      <w:r>
        <w:rPr>
          <w:rFonts w:hint="eastAsia" w:ascii="黑体" w:hAnsi="黑体" w:eastAsia="黑体" w:cs="黑体"/>
        </w:rPr>
        <w:fldChar w:fldCharType="end"/>
      </w:r>
      <w:r>
        <w:rPr>
          <w:rFonts w:hint="eastAsia" w:ascii="黑体" w:hAnsi="黑体" w:eastAsia="黑体" w:cs="黑体"/>
        </w:rPr>
        <w:fldChar w:fldCharType="end"/>
      </w:r>
    </w:p>
    <w:p w14:paraId="3F40E109">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_Toc13578 </w:instrText>
      </w:r>
      <w:r>
        <w:rPr>
          <w:rFonts w:hint="eastAsia" w:ascii="黑体" w:hAnsi="黑体" w:eastAsia="黑体" w:cs="黑体"/>
        </w:rPr>
        <w:fldChar w:fldCharType="separate"/>
      </w:r>
      <w:r>
        <w:rPr>
          <w:rFonts w:hint="eastAsia" w:ascii="黑体" w:hAnsi="黑体" w:eastAsia="黑体" w:cs="黑体"/>
          <w:szCs w:val="28"/>
        </w:rPr>
        <w:t>一、项目概况及总体要求</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_Toc13578 \h </w:instrText>
      </w:r>
      <w:r>
        <w:rPr>
          <w:rFonts w:hint="eastAsia" w:ascii="黑体" w:hAnsi="黑体" w:eastAsia="黑体" w:cs="黑体"/>
        </w:rPr>
        <w:fldChar w:fldCharType="separate"/>
      </w:r>
      <w:r>
        <w:rPr>
          <w:rFonts w:hint="eastAsia" w:ascii="黑体" w:hAnsi="黑体" w:eastAsia="黑体" w:cs="黑体"/>
        </w:rPr>
        <w:t>34</w:t>
      </w:r>
      <w:r>
        <w:rPr>
          <w:rFonts w:hint="eastAsia" w:ascii="黑体" w:hAnsi="黑体" w:eastAsia="黑体" w:cs="黑体"/>
        </w:rPr>
        <w:fldChar w:fldCharType="end"/>
      </w:r>
      <w:r>
        <w:rPr>
          <w:rFonts w:hint="eastAsia" w:ascii="黑体" w:hAnsi="黑体" w:eastAsia="黑体" w:cs="黑体"/>
        </w:rPr>
        <w:fldChar w:fldCharType="end"/>
      </w:r>
    </w:p>
    <w:p w14:paraId="5FD2C709">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_Toc30561 </w:instrText>
      </w:r>
      <w:r>
        <w:rPr>
          <w:rFonts w:hint="eastAsia" w:ascii="黑体" w:hAnsi="黑体" w:eastAsia="黑体" w:cs="黑体"/>
        </w:rPr>
        <w:fldChar w:fldCharType="separate"/>
      </w:r>
      <w:r>
        <w:rPr>
          <w:rFonts w:hint="eastAsia" w:ascii="黑体" w:hAnsi="黑体" w:eastAsia="黑体" w:cs="黑体"/>
          <w:szCs w:val="28"/>
        </w:rPr>
        <w:t>二、材料需求一览表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_Toc30561 \h </w:instrText>
      </w:r>
      <w:r>
        <w:rPr>
          <w:rFonts w:hint="eastAsia" w:ascii="黑体" w:hAnsi="黑体" w:eastAsia="黑体" w:cs="黑体"/>
        </w:rPr>
        <w:fldChar w:fldCharType="separate"/>
      </w:r>
      <w:r>
        <w:rPr>
          <w:rFonts w:hint="eastAsia" w:ascii="黑体" w:hAnsi="黑体" w:eastAsia="黑体" w:cs="黑体"/>
        </w:rPr>
        <w:t>34</w:t>
      </w:r>
      <w:r>
        <w:rPr>
          <w:rFonts w:hint="eastAsia" w:ascii="黑体" w:hAnsi="黑体" w:eastAsia="黑体" w:cs="黑体"/>
        </w:rPr>
        <w:fldChar w:fldCharType="end"/>
      </w:r>
      <w:r>
        <w:rPr>
          <w:rFonts w:hint="eastAsia" w:ascii="黑体" w:hAnsi="黑体" w:eastAsia="黑体" w:cs="黑体"/>
        </w:rPr>
        <w:fldChar w:fldCharType="end"/>
      </w:r>
    </w:p>
    <w:p w14:paraId="50A09972">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_Toc1846 </w:instrText>
      </w:r>
      <w:r>
        <w:rPr>
          <w:rFonts w:hint="eastAsia" w:ascii="黑体" w:hAnsi="黑体" w:eastAsia="黑体" w:cs="黑体"/>
        </w:rPr>
        <w:fldChar w:fldCharType="separate"/>
      </w:r>
      <w:r>
        <w:rPr>
          <w:rFonts w:hint="eastAsia" w:ascii="黑体" w:hAnsi="黑体" w:eastAsia="黑体" w:cs="黑体"/>
          <w:szCs w:val="28"/>
        </w:rPr>
        <w:t>三、 质量标准</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_Toc1846 \h </w:instrText>
      </w:r>
      <w:r>
        <w:rPr>
          <w:rFonts w:hint="eastAsia" w:ascii="黑体" w:hAnsi="黑体" w:eastAsia="黑体" w:cs="黑体"/>
        </w:rPr>
        <w:fldChar w:fldCharType="separate"/>
      </w:r>
      <w:r>
        <w:rPr>
          <w:rFonts w:hint="eastAsia" w:ascii="黑体" w:hAnsi="黑体" w:eastAsia="黑体" w:cs="黑体"/>
        </w:rPr>
        <w:t>34</w:t>
      </w:r>
      <w:r>
        <w:rPr>
          <w:rFonts w:hint="eastAsia" w:ascii="黑体" w:hAnsi="黑体" w:eastAsia="黑体" w:cs="黑体"/>
        </w:rPr>
        <w:fldChar w:fldCharType="end"/>
      </w:r>
      <w:r>
        <w:rPr>
          <w:rFonts w:hint="eastAsia" w:ascii="黑体" w:hAnsi="黑体" w:eastAsia="黑体" w:cs="黑体"/>
        </w:rPr>
        <w:fldChar w:fldCharType="end"/>
      </w:r>
    </w:p>
    <w:p w14:paraId="2318CFB8">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_Toc13844 </w:instrText>
      </w:r>
      <w:r>
        <w:rPr>
          <w:rFonts w:hint="eastAsia" w:ascii="黑体" w:hAnsi="黑体" w:eastAsia="黑体" w:cs="黑体"/>
        </w:rPr>
        <w:fldChar w:fldCharType="separate"/>
      </w:r>
      <w:r>
        <w:rPr>
          <w:rFonts w:hint="eastAsia" w:ascii="黑体" w:hAnsi="黑体" w:eastAsia="黑体" w:cs="黑体"/>
          <w:szCs w:val="28"/>
        </w:rPr>
        <w:t>四、验收标准</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_Toc13844 \h </w:instrText>
      </w:r>
      <w:r>
        <w:rPr>
          <w:rFonts w:hint="eastAsia" w:ascii="黑体" w:hAnsi="黑体" w:eastAsia="黑体" w:cs="黑体"/>
        </w:rPr>
        <w:fldChar w:fldCharType="separate"/>
      </w:r>
      <w:r>
        <w:rPr>
          <w:rFonts w:hint="eastAsia" w:ascii="黑体" w:hAnsi="黑体" w:eastAsia="黑体" w:cs="黑体"/>
        </w:rPr>
        <w:t>34</w:t>
      </w:r>
      <w:r>
        <w:rPr>
          <w:rFonts w:hint="eastAsia" w:ascii="黑体" w:hAnsi="黑体" w:eastAsia="黑体" w:cs="黑体"/>
        </w:rPr>
        <w:fldChar w:fldCharType="end"/>
      </w:r>
      <w:r>
        <w:rPr>
          <w:rFonts w:hint="eastAsia" w:ascii="黑体" w:hAnsi="黑体" w:eastAsia="黑体" w:cs="黑体"/>
        </w:rPr>
        <w:fldChar w:fldCharType="end"/>
      </w:r>
    </w:p>
    <w:p w14:paraId="408CBEBB">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_Toc9624 </w:instrText>
      </w:r>
      <w:r>
        <w:rPr>
          <w:rFonts w:hint="eastAsia" w:ascii="黑体" w:hAnsi="黑体" w:eastAsia="黑体" w:cs="黑体"/>
        </w:rPr>
        <w:fldChar w:fldCharType="separate"/>
      </w:r>
      <w:r>
        <w:rPr>
          <w:rFonts w:hint="eastAsia" w:ascii="黑体" w:hAnsi="黑体" w:eastAsia="黑体" w:cs="黑体"/>
          <w:szCs w:val="28"/>
        </w:rPr>
        <w:t>五、相关服务要求</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_Toc9624 \h </w:instrText>
      </w:r>
      <w:r>
        <w:rPr>
          <w:rFonts w:hint="eastAsia" w:ascii="黑体" w:hAnsi="黑体" w:eastAsia="黑体" w:cs="黑体"/>
        </w:rPr>
        <w:fldChar w:fldCharType="separate"/>
      </w:r>
      <w:r>
        <w:rPr>
          <w:rFonts w:hint="eastAsia" w:ascii="黑体" w:hAnsi="黑体" w:eastAsia="黑体" w:cs="黑体"/>
        </w:rPr>
        <w:t>34</w:t>
      </w:r>
      <w:r>
        <w:rPr>
          <w:rFonts w:hint="eastAsia" w:ascii="黑体" w:hAnsi="黑体" w:eastAsia="黑体" w:cs="黑体"/>
        </w:rPr>
        <w:fldChar w:fldCharType="end"/>
      </w:r>
      <w:r>
        <w:rPr>
          <w:rFonts w:hint="eastAsia" w:ascii="黑体" w:hAnsi="黑体" w:eastAsia="黑体" w:cs="黑体"/>
        </w:rPr>
        <w:fldChar w:fldCharType="end"/>
      </w:r>
    </w:p>
    <w:p w14:paraId="04B90017">
      <w:pPr>
        <w:pStyle w:val="18"/>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_Toc23848 </w:instrText>
      </w:r>
      <w:r>
        <w:rPr>
          <w:rFonts w:hint="eastAsia" w:ascii="黑体" w:hAnsi="黑体" w:eastAsia="黑体" w:cs="黑体"/>
        </w:rPr>
        <w:fldChar w:fldCharType="separate"/>
      </w:r>
      <w:r>
        <w:rPr>
          <w:rFonts w:hint="eastAsia" w:ascii="黑体" w:hAnsi="黑体" w:eastAsia="黑体" w:cs="黑体"/>
        </w:rPr>
        <w:t>第</w:t>
      </w:r>
      <w:r>
        <w:rPr>
          <w:rFonts w:hint="eastAsia" w:ascii="黑体" w:hAnsi="黑体" w:eastAsia="黑体" w:cs="黑体"/>
          <w:lang w:val="en-US" w:eastAsia="zh-CN"/>
        </w:rPr>
        <w:t>六</w:t>
      </w:r>
      <w:r>
        <w:rPr>
          <w:rFonts w:hint="eastAsia" w:ascii="黑体" w:hAnsi="黑体" w:eastAsia="黑体" w:cs="黑体"/>
        </w:rPr>
        <w:t>章投标文件格式</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_Toc23848 \h </w:instrText>
      </w:r>
      <w:r>
        <w:rPr>
          <w:rFonts w:hint="eastAsia" w:ascii="黑体" w:hAnsi="黑体" w:eastAsia="黑体" w:cs="黑体"/>
        </w:rPr>
        <w:fldChar w:fldCharType="separate"/>
      </w:r>
      <w:r>
        <w:rPr>
          <w:rFonts w:hint="eastAsia" w:ascii="黑体" w:hAnsi="黑体" w:eastAsia="黑体" w:cs="黑体"/>
        </w:rPr>
        <w:t>35</w:t>
      </w:r>
      <w:r>
        <w:rPr>
          <w:rFonts w:hint="eastAsia" w:ascii="黑体" w:hAnsi="黑体" w:eastAsia="黑体" w:cs="黑体"/>
        </w:rPr>
        <w:fldChar w:fldCharType="end"/>
      </w:r>
      <w:r>
        <w:rPr>
          <w:rFonts w:hint="eastAsia" w:ascii="黑体" w:hAnsi="黑体" w:eastAsia="黑体" w:cs="黑体"/>
        </w:rPr>
        <w:fldChar w:fldCharType="end"/>
      </w:r>
    </w:p>
    <w:p w14:paraId="5ECED861">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_Toc16562 </w:instrText>
      </w:r>
      <w:r>
        <w:rPr>
          <w:rFonts w:hint="eastAsia" w:ascii="黑体" w:hAnsi="黑体" w:eastAsia="黑体" w:cs="黑体"/>
        </w:rPr>
        <w:fldChar w:fldCharType="separate"/>
      </w:r>
      <w:r>
        <w:rPr>
          <w:rFonts w:hint="eastAsia" w:ascii="黑体" w:hAnsi="黑体" w:eastAsia="黑体" w:cs="黑体"/>
        </w:rPr>
        <w:t>目录</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_Toc16562 \h </w:instrText>
      </w:r>
      <w:r>
        <w:rPr>
          <w:rFonts w:hint="eastAsia" w:ascii="黑体" w:hAnsi="黑体" w:eastAsia="黑体" w:cs="黑体"/>
        </w:rPr>
        <w:fldChar w:fldCharType="separate"/>
      </w:r>
      <w:r>
        <w:rPr>
          <w:rFonts w:hint="eastAsia" w:ascii="黑体" w:hAnsi="黑体" w:eastAsia="黑体" w:cs="黑体"/>
        </w:rPr>
        <w:t>37</w:t>
      </w:r>
      <w:r>
        <w:rPr>
          <w:rFonts w:hint="eastAsia" w:ascii="黑体" w:hAnsi="黑体" w:eastAsia="黑体" w:cs="黑体"/>
        </w:rPr>
        <w:fldChar w:fldCharType="end"/>
      </w:r>
      <w:r>
        <w:rPr>
          <w:rFonts w:hint="eastAsia" w:ascii="黑体" w:hAnsi="黑体" w:eastAsia="黑体" w:cs="黑体"/>
        </w:rPr>
        <w:fldChar w:fldCharType="end"/>
      </w:r>
    </w:p>
    <w:p w14:paraId="29EEC938">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_Toc31396 </w:instrText>
      </w:r>
      <w:r>
        <w:rPr>
          <w:rFonts w:hint="eastAsia" w:ascii="黑体" w:hAnsi="黑体" w:eastAsia="黑体" w:cs="黑体"/>
        </w:rPr>
        <w:fldChar w:fldCharType="separate"/>
      </w:r>
      <w:r>
        <w:rPr>
          <w:rFonts w:hint="eastAsia" w:ascii="黑体" w:hAnsi="黑体" w:eastAsia="黑体" w:cs="黑体"/>
        </w:rPr>
        <w:t>一、投标函</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_Toc31396 \h </w:instrText>
      </w:r>
      <w:r>
        <w:rPr>
          <w:rFonts w:hint="eastAsia" w:ascii="黑体" w:hAnsi="黑体" w:eastAsia="黑体" w:cs="黑体"/>
        </w:rPr>
        <w:fldChar w:fldCharType="separate"/>
      </w:r>
      <w:r>
        <w:rPr>
          <w:rFonts w:hint="eastAsia" w:ascii="黑体" w:hAnsi="黑体" w:eastAsia="黑体" w:cs="黑体"/>
        </w:rPr>
        <w:t>38</w:t>
      </w:r>
      <w:r>
        <w:rPr>
          <w:rFonts w:hint="eastAsia" w:ascii="黑体" w:hAnsi="黑体" w:eastAsia="黑体" w:cs="黑体"/>
        </w:rPr>
        <w:fldChar w:fldCharType="end"/>
      </w:r>
      <w:r>
        <w:rPr>
          <w:rFonts w:hint="eastAsia" w:ascii="黑体" w:hAnsi="黑体" w:eastAsia="黑体" w:cs="黑体"/>
        </w:rPr>
        <w:fldChar w:fldCharType="end"/>
      </w:r>
    </w:p>
    <w:p w14:paraId="54944376">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_Toc12685 </w:instrText>
      </w:r>
      <w:r>
        <w:rPr>
          <w:rFonts w:hint="eastAsia" w:ascii="黑体" w:hAnsi="黑体" w:eastAsia="黑体" w:cs="黑体"/>
        </w:rPr>
        <w:fldChar w:fldCharType="separate"/>
      </w:r>
      <w:r>
        <w:rPr>
          <w:rFonts w:hint="eastAsia" w:ascii="黑体" w:hAnsi="黑体" w:eastAsia="黑体" w:cs="黑体"/>
        </w:rPr>
        <w:t>二、法定代表人</w:t>
      </w:r>
      <w:r>
        <w:rPr>
          <w:rFonts w:hint="eastAsia" w:ascii="黑体" w:hAnsi="黑体" w:eastAsia="黑体" w:cs="黑体"/>
          <w:lang w:eastAsia="zh-CN"/>
        </w:rPr>
        <w:t>（</w:t>
      </w:r>
      <w:r>
        <w:rPr>
          <w:rFonts w:hint="eastAsia" w:ascii="黑体" w:hAnsi="黑体" w:eastAsia="黑体" w:cs="黑体"/>
          <w:lang w:val="en-US" w:eastAsia="zh-CN"/>
        </w:rPr>
        <w:t>单位负责人</w:t>
      </w:r>
      <w:r>
        <w:rPr>
          <w:rFonts w:hint="eastAsia" w:ascii="黑体" w:hAnsi="黑体" w:eastAsia="黑体" w:cs="黑体"/>
          <w:lang w:eastAsia="zh-CN"/>
        </w:rPr>
        <w:t>）</w:t>
      </w:r>
      <w:r>
        <w:rPr>
          <w:rFonts w:hint="eastAsia" w:ascii="黑体" w:hAnsi="黑体" w:eastAsia="黑体" w:cs="黑体"/>
        </w:rPr>
        <w:t>身份证明或授权委托书</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_Toc12685 \h </w:instrText>
      </w:r>
      <w:r>
        <w:rPr>
          <w:rFonts w:hint="eastAsia" w:ascii="黑体" w:hAnsi="黑体" w:eastAsia="黑体" w:cs="黑体"/>
        </w:rPr>
        <w:fldChar w:fldCharType="separate"/>
      </w:r>
      <w:r>
        <w:rPr>
          <w:rFonts w:hint="eastAsia" w:ascii="黑体" w:hAnsi="黑体" w:eastAsia="黑体" w:cs="黑体"/>
        </w:rPr>
        <w:t>40</w:t>
      </w:r>
      <w:r>
        <w:rPr>
          <w:rFonts w:hint="eastAsia" w:ascii="黑体" w:hAnsi="黑体" w:eastAsia="黑体" w:cs="黑体"/>
        </w:rPr>
        <w:fldChar w:fldCharType="end"/>
      </w:r>
      <w:r>
        <w:rPr>
          <w:rFonts w:hint="eastAsia" w:ascii="黑体" w:hAnsi="黑体" w:eastAsia="黑体" w:cs="黑体"/>
        </w:rPr>
        <w:fldChar w:fldCharType="end"/>
      </w:r>
    </w:p>
    <w:p w14:paraId="02D684DE">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_Toc26184 </w:instrText>
      </w:r>
      <w:r>
        <w:rPr>
          <w:rFonts w:hint="eastAsia" w:ascii="黑体" w:hAnsi="黑体" w:eastAsia="黑体" w:cs="黑体"/>
        </w:rPr>
        <w:fldChar w:fldCharType="separate"/>
      </w:r>
      <w:r>
        <w:rPr>
          <w:rFonts w:hint="eastAsia" w:ascii="黑体" w:hAnsi="黑体" w:eastAsia="黑体" w:cs="黑体"/>
        </w:rPr>
        <w:t>三、联合体协议书</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_Toc26184 \h </w:instrText>
      </w:r>
      <w:r>
        <w:rPr>
          <w:rFonts w:hint="eastAsia" w:ascii="黑体" w:hAnsi="黑体" w:eastAsia="黑体" w:cs="黑体"/>
        </w:rPr>
        <w:fldChar w:fldCharType="separate"/>
      </w:r>
      <w:r>
        <w:rPr>
          <w:rFonts w:hint="eastAsia" w:ascii="黑体" w:hAnsi="黑体" w:eastAsia="黑体" w:cs="黑体"/>
        </w:rPr>
        <w:t>42</w:t>
      </w:r>
      <w:r>
        <w:rPr>
          <w:rFonts w:hint="eastAsia" w:ascii="黑体" w:hAnsi="黑体" w:eastAsia="黑体" w:cs="黑体"/>
        </w:rPr>
        <w:fldChar w:fldCharType="end"/>
      </w:r>
      <w:r>
        <w:rPr>
          <w:rFonts w:hint="eastAsia" w:ascii="黑体" w:hAnsi="黑体" w:eastAsia="黑体" w:cs="黑体"/>
        </w:rPr>
        <w:fldChar w:fldCharType="end"/>
      </w:r>
    </w:p>
    <w:p w14:paraId="7D10E42C">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_Toc25764 </w:instrText>
      </w:r>
      <w:r>
        <w:rPr>
          <w:rFonts w:hint="eastAsia" w:ascii="黑体" w:hAnsi="黑体" w:eastAsia="黑体" w:cs="黑体"/>
        </w:rPr>
        <w:fldChar w:fldCharType="separate"/>
      </w:r>
      <w:r>
        <w:rPr>
          <w:rFonts w:hint="eastAsia" w:ascii="黑体" w:hAnsi="黑体" w:eastAsia="黑体" w:cs="黑体"/>
        </w:rPr>
        <w:t>四、投标保证金</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_Toc25764 \h </w:instrText>
      </w:r>
      <w:r>
        <w:rPr>
          <w:rFonts w:hint="eastAsia" w:ascii="黑体" w:hAnsi="黑体" w:eastAsia="黑体" w:cs="黑体"/>
        </w:rPr>
        <w:fldChar w:fldCharType="separate"/>
      </w:r>
      <w:r>
        <w:rPr>
          <w:rFonts w:hint="eastAsia" w:ascii="黑体" w:hAnsi="黑体" w:eastAsia="黑体" w:cs="黑体"/>
        </w:rPr>
        <w:t>43</w:t>
      </w:r>
      <w:r>
        <w:rPr>
          <w:rFonts w:hint="eastAsia" w:ascii="黑体" w:hAnsi="黑体" w:eastAsia="黑体" w:cs="黑体"/>
        </w:rPr>
        <w:fldChar w:fldCharType="end"/>
      </w:r>
      <w:r>
        <w:rPr>
          <w:rFonts w:hint="eastAsia" w:ascii="黑体" w:hAnsi="黑体" w:eastAsia="黑体" w:cs="黑体"/>
        </w:rPr>
        <w:fldChar w:fldCharType="end"/>
      </w:r>
    </w:p>
    <w:p w14:paraId="54CB7A03">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_Toc22802 </w:instrText>
      </w:r>
      <w:r>
        <w:rPr>
          <w:rFonts w:hint="eastAsia" w:ascii="黑体" w:hAnsi="黑体" w:eastAsia="黑体" w:cs="黑体"/>
        </w:rPr>
        <w:fldChar w:fldCharType="separate"/>
      </w:r>
      <w:r>
        <w:rPr>
          <w:rFonts w:hint="eastAsia" w:ascii="黑体" w:hAnsi="黑体" w:eastAsia="黑体" w:cs="黑体"/>
        </w:rPr>
        <w:t>五、商务和技术偏差表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_Toc22802 \h </w:instrText>
      </w:r>
      <w:r>
        <w:rPr>
          <w:rFonts w:hint="eastAsia" w:ascii="黑体" w:hAnsi="黑体" w:eastAsia="黑体" w:cs="黑体"/>
        </w:rPr>
        <w:fldChar w:fldCharType="separate"/>
      </w:r>
      <w:r>
        <w:rPr>
          <w:rFonts w:hint="eastAsia" w:ascii="黑体" w:hAnsi="黑体" w:eastAsia="黑体" w:cs="黑体"/>
        </w:rPr>
        <w:t>44</w:t>
      </w:r>
      <w:r>
        <w:rPr>
          <w:rFonts w:hint="eastAsia" w:ascii="黑体" w:hAnsi="黑体" w:eastAsia="黑体" w:cs="黑体"/>
        </w:rPr>
        <w:fldChar w:fldCharType="end"/>
      </w:r>
      <w:r>
        <w:rPr>
          <w:rFonts w:hint="eastAsia" w:ascii="黑体" w:hAnsi="黑体" w:eastAsia="黑体" w:cs="黑体"/>
        </w:rPr>
        <w:fldChar w:fldCharType="end"/>
      </w:r>
    </w:p>
    <w:p w14:paraId="31DFFF3E">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_Toc7605 </w:instrText>
      </w:r>
      <w:r>
        <w:rPr>
          <w:rFonts w:hint="eastAsia" w:ascii="黑体" w:hAnsi="黑体" w:eastAsia="黑体" w:cs="黑体"/>
        </w:rPr>
        <w:fldChar w:fldCharType="separate"/>
      </w:r>
      <w:r>
        <w:rPr>
          <w:rFonts w:hint="eastAsia" w:ascii="黑体" w:hAnsi="黑体" w:eastAsia="黑体" w:cs="黑体"/>
        </w:rPr>
        <w:t>六、分项报价表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_Toc7605 \h </w:instrText>
      </w:r>
      <w:r>
        <w:rPr>
          <w:rFonts w:hint="eastAsia" w:ascii="黑体" w:hAnsi="黑体" w:eastAsia="黑体" w:cs="黑体"/>
        </w:rPr>
        <w:fldChar w:fldCharType="separate"/>
      </w:r>
      <w:r>
        <w:rPr>
          <w:rFonts w:hint="eastAsia" w:ascii="黑体" w:hAnsi="黑体" w:eastAsia="黑体" w:cs="黑体"/>
        </w:rPr>
        <w:t>45</w:t>
      </w:r>
      <w:r>
        <w:rPr>
          <w:rFonts w:hint="eastAsia" w:ascii="黑体" w:hAnsi="黑体" w:eastAsia="黑体" w:cs="黑体"/>
        </w:rPr>
        <w:fldChar w:fldCharType="end"/>
      </w:r>
      <w:r>
        <w:rPr>
          <w:rFonts w:hint="eastAsia" w:ascii="黑体" w:hAnsi="黑体" w:eastAsia="黑体" w:cs="黑体"/>
        </w:rPr>
        <w:fldChar w:fldCharType="end"/>
      </w:r>
    </w:p>
    <w:p w14:paraId="7C6DD7B4">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_Toc22713 </w:instrText>
      </w:r>
      <w:r>
        <w:rPr>
          <w:rFonts w:hint="eastAsia" w:ascii="黑体" w:hAnsi="黑体" w:eastAsia="黑体" w:cs="黑体"/>
        </w:rPr>
        <w:fldChar w:fldCharType="separate"/>
      </w:r>
      <w:r>
        <w:rPr>
          <w:rFonts w:hint="eastAsia" w:ascii="黑体" w:hAnsi="黑体" w:eastAsia="黑体" w:cs="黑体"/>
        </w:rPr>
        <w:t>七、资格审查资料</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_Toc22713 \h </w:instrText>
      </w:r>
      <w:r>
        <w:rPr>
          <w:rFonts w:hint="eastAsia" w:ascii="黑体" w:hAnsi="黑体" w:eastAsia="黑体" w:cs="黑体"/>
        </w:rPr>
        <w:fldChar w:fldCharType="separate"/>
      </w:r>
      <w:r>
        <w:rPr>
          <w:rFonts w:hint="eastAsia" w:ascii="黑体" w:hAnsi="黑体" w:eastAsia="黑体" w:cs="黑体"/>
        </w:rPr>
        <w:t>46</w:t>
      </w:r>
      <w:r>
        <w:rPr>
          <w:rFonts w:hint="eastAsia" w:ascii="黑体" w:hAnsi="黑体" w:eastAsia="黑体" w:cs="黑体"/>
        </w:rPr>
        <w:fldChar w:fldCharType="end"/>
      </w:r>
      <w:r>
        <w:rPr>
          <w:rFonts w:hint="eastAsia" w:ascii="黑体" w:hAnsi="黑体" w:eastAsia="黑体" w:cs="黑体"/>
        </w:rPr>
        <w:fldChar w:fldCharType="end"/>
      </w:r>
    </w:p>
    <w:p w14:paraId="65230B71">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_Toc214 </w:instrText>
      </w:r>
      <w:r>
        <w:rPr>
          <w:rFonts w:hint="eastAsia" w:ascii="黑体" w:hAnsi="黑体" w:eastAsia="黑体" w:cs="黑体"/>
        </w:rPr>
        <w:fldChar w:fldCharType="separate"/>
      </w:r>
      <w:r>
        <w:rPr>
          <w:rFonts w:hint="eastAsia" w:ascii="黑体" w:hAnsi="黑体" w:eastAsia="黑体" w:cs="黑体"/>
        </w:rPr>
        <w:t>（一）投标人基本情况表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_Toc214 \h </w:instrText>
      </w:r>
      <w:r>
        <w:rPr>
          <w:rFonts w:hint="eastAsia" w:ascii="黑体" w:hAnsi="黑体" w:eastAsia="黑体" w:cs="黑体"/>
        </w:rPr>
        <w:fldChar w:fldCharType="separate"/>
      </w:r>
      <w:r>
        <w:rPr>
          <w:rFonts w:hint="eastAsia" w:ascii="黑体" w:hAnsi="黑体" w:eastAsia="黑体" w:cs="黑体"/>
        </w:rPr>
        <w:t>46</w:t>
      </w:r>
      <w:r>
        <w:rPr>
          <w:rFonts w:hint="eastAsia" w:ascii="黑体" w:hAnsi="黑体" w:eastAsia="黑体" w:cs="黑体"/>
        </w:rPr>
        <w:fldChar w:fldCharType="end"/>
      </w:r>
      <w:r>
        <w:rPr>
          <w:rFonts w:hint="eastAsia" w:ascii="黑体" w:hAnsi="黑体" w:eastAsia="黑体" w:cs="黑体"/>
        </w:rPr>
        <w:fldChar w:fldCharType="end"/>
      </w:r>
    </w:p>
    <w:p w14:paraId="6935E5F0">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_Toc24878 </w:instrText>
      </w:r>
      <w:r>
        <w:rPr>
          <w:rFonts w:hint="eastAsia" w:ascii="黑体" w:hAnsi="黑体" w:eastAsia="黑体" w:cs="黑体"/>
        </w:rPr>
        <w:fldChar w:fldCharType="separate"/>
      </w:r>
      <w:r>
        <w:rPr>
          <w:rFonts w:hint="eastAsia" w:ascii="黑体" w:hAnsi="黑体" w:eastAsia="黑体" w:cs="黑体"/>
        </w:rPr>
        <w:t>（二）近年财务状况表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_Toc24878 \h </w:instrText>
      </w:r>
      <w:r>
        <w:rPr>
          <w:rFonts w:hint="eastAsia" w:ascii="黑体" w:hAnsi="黑体" w:eastAsia="黑体" w:cs="黑体"/>
        </w:rPr>
        <w:fldChar w:fldCharType="separate"/>
      </w:r>
      <w:r>
        <w:rPr>
          <w:rFonts w:hint="eastAsia" w:ascii="黑体" w:hAnsi="黑体" w:eastAsia="黑体" w:cs="黑体"/>
        </w:rPr>
        <w:t>48</w:t>
      </w:r>
      <w:r>
        <w:rPr>
          <w:rFonts w:hint="eastAsia" w:ascii="黑体" w:hAnsi="黑体" w:eastAsia="黑体" w:cs="黑体"/>
        </w:rPr>
        <w:fldChar w:fldCharType="end"/>
      </w:r>
      <w:r>
        <w:rPr>
          <w:rFonts w:hint="eastAsia" w:ascii="黑体" w:hAnsi="黑体" w:eastAsia="黑体" w:cs="黑体"/>
        </w:rPr>
        <w:fldChar w:fldCharType="end"/>
      </w:r>
    </w:p>
    <w:p w14:paraId="141AA34C">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_Toc18828 </w:instrText>
      </w:r>
      <w:r>
        <w:rPr>
          <w:rFonts w:hint="eastAsia" w:ascii="黑体" w:hAnsi="黑体" w:eastAsia="黑体" w:cs="黑体"/>
        </w:rPr>
        <w:fldChar w:fldCharType="separate"/>
      </w:r>
      <w:r>
        <w:rPr>
          <w:rFonts w:hint="eastAsia" w:ascii="黑体" w:hAnsi="黑体" w:eastAsia="黑体" w:cs="黑体"/>
        </w:rPr>
        <w:t>（三）近年完成的类似项目情况表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_Toc18828 \h </w:instrText>
      </w:r>
      <w:r>
        <w:rPr>
          <w:rFonts w:hint="eastAsia" w:ascii="黑体" w:hAnsi="黑体" w:eastAsia="黑体" w:cs="黑体"/>
        </w:rPr>
        <w:fldChar w:fldCharType="separate"/>
      </w:r>
      <w:r>
        <w:rPr>
          <w:rFonts w:hint="eastAsia" w:ascii="黑体" w:hAnsi="黑体" w:eastAsia="黑体" w:cs="黑体"/>
        </w:rPr>
        <w:t>49</w:t>
      </w:r>
      <w:r>
        <w:rPr>
          <w:rFonts w:hint="eastAsia" w:ascii="黑体" w:hAnsi="黑体" w:eastAsia="黑体" w:cs="黑体"/>
        </w:rPr>
        <w:fldChar w:fldCharType="end"/>
      </w:r>
      <w:r>
        <w:rPr>
          <w:rFonts w:hint="eastAsia" w:ascii="黑体" w:hAnsi="黑体" w:eastAsia="黑体" w:cs="黑体"/>
        </w:rPr>
        <w:fldChar w:fldCharType="end"/>
      </w:r>
    </w:p>
    <w:p w14:paraId="52199502">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_Toc31217 </w:instrText>
      </w:r>
      <w:r>
        <w:rPr>
          <w:rFonts w:hint="eastAsia" w:ascii="黑体" w:hAnsi="黑体" w:eastAsia="黑体" w:cs="黑体"/>
        </w:rPr>
        <w:fldChar w:fldCharType="separate"/>
      </w:r>
      <w:r>
        <w:rPr>
          <w:rFonts w:hint="eastAsia" w:ascii="黑体" w:hAnsi="黑体" w:eastAsia="黑体" w:cs="黑体"/>
        </w:rPr>
        <w:t>（四）正在</w:t>
      </w:r>
      <w:r>
        <w:rPr>
          <w:rFonts w:hint="eastAsia" w:ascii="黑体" w:hAnsi="黑体" w:eastAsia="黑体" w:cs="黑体"/>
          <w:lang w:val="en-US" w:eastAsia="zh-CN"/>
        </w:rPr>
        <w:t>供货</w:t>
      </w:r>
      <w:r>
        <w:rPr>
          <w:rFonts w:hint="eastAsia" w:ascii="黑体" w:hAnsi="黑体" w:eastAsia="黑体" w:cs="黑体"/>
        </w:rPr>
        <w:t>的和新承接的项目情况表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_Toc31217 \h </w:instrText>
      </w:r>
      <w:r>
        <w:rPr>
          <w:rFonts w:hint="eastAsia" w:ascii="黑体" w:hAnsi="黑体" w:eastAsia="黑体" w:cs="黑体"/>
        </w:rPr>
        <w:fldChar w:fldCharType="separate"/>
      </w:r>
      <w:r>
        <w:rPr>
          <w:rFonts w:hint="eastAsia" w:ascii="黑体" w:hAnsi="黑体" w:eastAsia="黑体" w:cs="黑体"/>
        </w:rPr>
        <w:t>50</w:t>
      </w:r>
      <w:r>
        <w:rPr>
          <w:rFonts w:hint="eastAsia" w:ascii="黑体" w:hAnsi="黑体" w:eastAsia="黑体" w:cs="黑体"/>
        </w:rPr>
        <w:fldChar w:fldCharType="end"/>
      </w:r>
      <w:r>
        <w:rPr>
          <w:rFonts w:hint="eastAsia" w:ascii="黑体" w:hAnsi="黑体" w:eastAsia="黑体" w:cs="黑体"/>
        </w:rPr>
        <w:fldChar w:fldCharType="end"/>
      </w:r>
    </w:p>
    <w:p w14:paraId="28D85818">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_Toc23349 </w:instrText>
      </w:r>
      <w:r>
        <w:rPr>
          <w:rFonts w:hint="eastAsia" w:ascii="黑体" w:hAnsi="黑体" w:eastAsia="黑体" w:cs="黑体"/>
        </w:rPr>
        <w:fldChar w:fldCharType="separate"/>
      </w:r>
      <w:r>
        <w:rPr>
          <w:rFonts w:hint="eastAsia" w:ascii="黑体" w:hAnsi="黑体" w:eastAsia="黑体" w:cs="黑体"/>
        </w:rPr>
        <w:t>（五）</w:t>
      </w:r>
      <w:r>
        <w:rPr>
          <w:rFonts w:hint="eastAsia" w:ascii="黑体" w:hAnsi="黑体" w:eastAsia="黑体" w:cs="黑体"/>
          <w:lang w:val="en-US" w:eastAsia="zh-CN"/>
        </w:rPr>
        <w:t>企业获奖</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_Toc23349 \h </w:instrText>
      </w:r>
      <w:r>
        <w:rPr>
          <w:rFonts w:hint="eastAsia" w:ascii="黑体" w:hAnsi="黑体" w:eastAsia="黑体" w:cs="黑体"/>
        </w:rPr>
        <w:fldChar w:fldCharType="separate"/>
      </w:r>
      <w:r>
        <w:rPr>
          <w:rFonts w:hint="eastAsia" w:ascii="黑体" w:hAnsi="黑体" w:eastAsia="黑体" w:cs="黑体"/>
        </w:rPr>
        <w:t>51</w:t>
      </w:r>
      <w:r>
        <w:rPr>
          <w:rFonts w:hint="eastAsia" w:ascii="黑体" w:hAnsi="黑体" w:eastAsia="黑体" w:cs="黑体"/>
        </w:rPr>
        <w:fldChar w:fldCharType="end"/>
      </w:r>
      <w:r>
        <w:rPr>
          <w:rFonts w:hint="eastAsia" w:ascii="黑体" w:hAnsi="黑体" w:eastAsia="黑体" w:cs="黑体"/>
        </w:rPr>
        <w:fldChar w:fldCharType="end"/>
      </w:r>
    </w:p>
    <w:p w14:paraId="3CED9A45">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_Toc4928 </w:instrText>
      </w:r>
      <w:r>
        <w:rPr>
          <w:rFonts w:hint="eastAsia" w:ascii="黑体" w:hAnsi="黑体" w:eastAsia="黑体" w:cs="黑体"/>
        </w:rPr>
        <w:fldChar w:fldCharType="separate"/>
      </w:r>
      <w:r>
        <w:rPr>
          <w:rFonts w:hint="eastAsia" w:ascii="黑体" w:hAnsi="黑体" w:eastAsia="黑体" w:cs="黑体"/>
        </w:rPr>
        <w:t>（六）企业</w:t>
      </w:r>
      <w:r>
        <w:rPr>
          <w:rFonts w:hint="eastAsia" w:ascii="黑体" w:hAnsi="黑体" w:eastAsia="黑体" w:cs="黑体"/>
          <w:lang w:val="en-US" w:eastAsia="zh-CN"/>
        </w:rPr>
        <w:t>各类证书</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_Toc4928 \h </w:instrText>
      </w:r>
      <w:r>
        <w:rPr>
          <w:rFonts w:hint="eastAsia" w:ascii="黑体" w:hAnsi="黑体" w:eastAsia="黑体" w:cs="黑体"/>
        </w:rPr>
        <w:fldChar w:fldCharType="separate"/>
      </w:r>
      <w:r>
        <w:rPr>
          <w:rFonts w:hint="eastAsia" w:ascii="黑体" w:hAnsi="黑体" w:eastAsia="黑体" w:cs="黑体"/>
        </w:rPr>
        <w:t>52</w:t>
      </w:r>
      <w:r>
        <w:rPr>
          <w:rFonts w:hint="eastAsia" w:ascii="黑体" w:hAnsi="黑体" w:eastAsia="黑体" w:cs="黑体"/>
        </w:rPr>
        <w:fldChar w:fldCharType="end"/>
      </w:r>
      <w:r>
        <w:rPr>
          <w:rFonts w:hint="eastAsia" w:ascii="黑体" w:hAnsi="黑体" w:eastAsia="黑体" w:cs="黑体"/>
        </w:rPr>
        <w:fldChar w:fldCharType="end"/>
      </w:r>
    </w:p>
    <w:p w14:paraId="34A6D6C9">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_Toc32266 </w:instrText>
      </w:r>
      <w:r>
        <w:rPr>
          <w:rFonts w:hint="eastAsia" w:ascii="黑体" w:hAnsi="黑体" w:eastAsia="黑体" w:cs="黑体"/>
        </w:rPr>
        <w:fldChar w:fldCharType="separate"/>
      </w:r>
      <w:r>
        <w:rPr>
          <w:rFonts w:hint="eastAsia" w:ascii="黑体" w:hAnsi="黑体" w:eastAsia="黑体" w:cs="黑体"/>
          <w:bCs/>
          <w:lang w:val="en-US" w:eastAsia="zh-CN"/>
        </w:rPr>
        <w:t>（七）制造商授权书</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_Toc32266 \h </w:instrText>
      </w:r>
      <w:r>
        <w:rPr>
          <w:rFonts w:hint="eastAsia" w:ascii="黑体" w:hAnsi="黑体" w:eastAsia="黑体" w:cs="黑体"/>
        </w:rPr>
        <w:fldChar w:fldCharType="separate"/>
      </w:r>
      <w:r>
        <w:rPr>
          <w:rFonts w:hint="eastAsia" w:ascii="黑体" w:hAnsi="黑体" w:eastAsia="黑体" w:cs="黑体"/>
        </w:rPr>
        <w:t>53</w:t>
      </w:r>
      <w:r>
        <w:rPr>
          <w:rFonts w:hint="eastAsia" w:ascii="黑体" w:hAnsi="黑体" w:eastAsia="黑体" w:cs="黑体"/>
        </w:rPr>
        <w:fldChar w:fldCharType="end"/>
      </w:r>
      <w:r>
        <w:rPr>
          <w:rFonts w:hint="eastAsia" w:ascii="黑体" w:hAnsi="黑体" w:eastAsia="黑体" w:cs="黑体"/>
        </w:rPr>
        <w:fldChar w:fldCharType="end"/>
      </w:r>
    </w:p>
    <w:p w14:paraId="097E5BAC">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_Toc20889 </w:instrText>
      </w:r>
      <w:r>
        <w:rPr>
          <w:rFonts w:hint="eastAsia" w:ascii="黑体" w:hAnsi="黑体" w:eastAsia="黑体" w:cs="黑体"/>
        </w:rPr>
        <w:fldChar w:fldCharType="separate"/>
      </w:r>
      <w:r>
        <w:rPr>
          <w:rFonts w:hint="eastAsia" w:ascii="黑体" w:hAnsi="黑体" w:eastAsia="黑体" w:cs="黑体"/>
        </w:rPr>
        <w:t>八、投标材料质量标准的详细描述</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_Toc20889 \h </w:instrText>
      </w:r>
      <w:r>
        <w:rPr>
          <w:rFonts w:hint="eastAsia" w:ascii="黑体" w:hAnsi="黑体" w:eastAsia="黑体" w:cs="黑体"/>
        </w:rPr>
        <w:fldChar w:fldCharType="separate"/>
      </w:r>
      <w:r>
        <w:rPr>
          <w:rFonts w:hint="eastAsia" w:ascii="黑体" w:hAnsi="黑体" w:eastAsia="黑体" w:cs="黑体"/>
        </w:rPr>
        <w:t>54</w:t>
      </w:r>
      <w:r>
        <w:rPr>
          <w:rFonts w:hint="eastAsia" w:ascii="黑体" w:hAnsi="黑体" w:eastAsia="黑体" w:cs="黑体"/>
        </w:rPr>
        <w:fldChar w:fldCharType="end"/>
      </w:r>
      <w:r>
        <w:rPr>
          <w:rFonts w:hint="eastAsia" w:ascii="黑体" w:hAnsi="黑体" w:eastAsia="黑体" w:cs="黑体"/>
        </w:rPr>
        <w:fldChar w:fldCharType="end"/>
      </w:r>
    </w:p>
    <w:p w14:paraId="0AE96E98">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_Toc29971 </w:instrText>
      </w:r>
      <w:r>
        <w:rPr>
          <w:rFonts w:hint="eastAsia" w:ascii="黑体" w:hAnsi="黑体" w:eastAsia="黑体" w:cs="黑体"/>
        </w:rPr>
        <w:fldChar w:fldCharType="separate"/>
      </w:r>
      <w:r>
        <w:rPr>
          <w:rFonts w:hint="eastAsia" w:ascii="黑体" w:hAnsi="黑体" w:eastAsia="黑体" w:cs="黑体"/>
        </w:rPr>
        <w:t>九、技术支持资料</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_Toc29971 \h </w:instrText>
      </w:r>
      <w:r>
        <w:rPr>
          <w:rFonts w:hint="eastAsia" w:ascii="黑体" w:hAnsi="黑体" w:eastAsia="黑体" w:cs="黑体"/>
        </w:rPr>
        <w:fldChar w:fldCharType="separate"/>
      </w:r>
      <w:r>
        <w:rPr>
          <w:rFonts w:hint="eastAsia" w:ascii="黑体" w:hAnsi="黑体" w:eastAsia="黑体" w:cs="黑体"/>
        </w:rPr>
        <w:t>55</w:t>
      </w:r>
      <w:r>
        <w:rPr>
          <w:rFonts w:hint="eastAsia" w:ascii="黑体" w:hAnsi="黑体" w:eastAsia="黑体" w:cs="黑体"/>
        </w:rPr>
        <w:fldChar w:fldCharType="end"/>
      </w:r>
      <w:r>
        <w:rPr>
          <w:rFonts w:hint="eastAsia" w:ascii="黑体" w:hAnsi="黑体" w:eastAsia="黑体" w:cs="黑体"/>
        </w:rPr>
        <w:fldChar w:fldCharType="end"/>
      </w:r>
    </w:p>
    <w:p w14:paraId="09C6D27A">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_Toc25185 </w:instrText>
      </w:r>
      <w:r>
        <w:rPr>
          <w:rFonts w:hint="eastAsia" w:ascii="黑体" w:hAnsi="黑体" w:eastAsia="黑体" w:cs="黑体"/>
        </w:rPr>
        <w:fldChar w:fldCharType="separate"/>
      </w:r>
      <w:r>
        <w:rPr>
          <w:rFonts w:hint="eastAsia" w:ascii="黑体" w:hAnsi="黑体" w:eastAsia="黑体" w:cs="黑体"/>
        </w:rPr>
        <w:t>十、相关服务计划</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_Toc25185 \h </w:instrText>
      </w:r>
      <w:r>
        <w:rPr>
          <w:rFonts w:hint="eastAsia" w:ascii="黑体" w:hAnsi="黑体" w:eastAsia="黑体" w:cs="黑体"/>
        </w:rPr>
        <w:fldChar w:fldCharType="separate"/>
      </w:r>
      <w:r>
        <w:rPr>
          <w:rFonts w:hint="eastAsia" w:ascii="黑体" w:hAnsi="黑体" w:eastAsia="黑体" w:cs="黑体"/>
        </w:rPr>
        <w:t>56</w:t>
      </w:r>
      <w:r>
        <w:rPr>
          <w:rFonts w:hint="eastAsia" w:ascii="黑体" w:hAnsi="黑体" w:eastAsia="黑体" w:cs="黑体"/>
        </w:rPr>
        <w:fldChar w:fldCharType="end"/>
      </w:r>
      <w:r>
        <w:rPr>
          <w:rFonts w:hint="eastAsia" w:ascii="黑体" w:hAnsi="黑体" w:eastAsia="黑体" w:cs="黑体"/>
        </w:rPr>
        <w:fldChar w:fldCharType="end"/>
      </w:r>
    </w:p>
    <w:p w14:paraId="2D7766DE">
      <w:pPr>
        <w:pStyle w:val="22"/>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_Toc15542 </w:instrText>
      </w:r>
      <w:r>
        <w:rPr>
          <w:rFonts w:hint="eastAsia" w:ascii="黑体" w:hAnsi="黑体" w:eastAsia="黑体" w:cs="黑体"/>
        </w:rPr>
        <w:fldChar w:fldCharType="separate"/>
      </w:r>
      <w:r>
        <w:rPr>
          <w:rFonts w:hint="eastAsia" w:ascii="黑体" w:hAnsi="黑体" w:eastAsia="黑体" w:cs="黑体"/>
        </w:rPr>
        <w:t>十一、</w:t>
      </w:r>
      <w:r>
        <w:rPr>
          <w:rFonts w:hint="eastAsia" w:ascii="黑体" w:hAnsi="黑体" w:eastAsia="黑体" w:cs="黑体"/>
          <w:lang w:val="en-US" w:eastAsia="zh-CN"/>
        </w:rPr>
        <w:t>投标人须知前附表规定的</w:t>
      </w:r>
      <w:r>
        <w:rPr>
          <w:rFonts w:hint="eastAsia" w:ascii="黑体" w:hAnsi="黑体" w:eastAsia="黑体" w:cs="黑体"/>
        </w:rPr>
        <w:t>其他资料</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_Toc15542 \h </w:instrText>
      </w:r>
      <w:r>
        <w:rPr>
          <w:rFonts w:hint="eastAsia" w:ascii="黑体" w:hAnsi="黑体" w:eastAsia="黑体" w:cs="黑体"/>
        </w:rPr>
        <w:fldChar w:fldCharType="separate"/>
      </w:r>
      <w:r>
        <w:rPr>
          <w:rFonts w:hint="eastAsia" w:ascii="黑体" w:hAnsi="黑体" w:eastAsia="黑体" w:cs="黑体"/>
        </w:rPr>
        <w:t>57</w:t>
      </w:r>
      <w:r>
        <w:rPr>
          <w:rFonts w:hint="eastAsia" w:ascii="黑体" w:hAnsi="黑体" w:eastAsia="黑体" w:cs="黑体"/>
        </w:rPr>
        <w:fldChar w:fldCharType="end"/>
      </w:r>
      <w:r>
        <w:rPr>
          <w:rFonts w:hint="eastAsia" w:ascii="黑体" w:hAnsi="黑体" w:eastAsia="黑体" w:cs="黑体"/>
        </w:rPr>
        <w:fldChar w:fldCharType="end"/>
      </w:r>
    </w:p>
    <w:p w14:paraId="0703C4C4">
      <w:pPr>
        <w:rPr>
          <w:rFonts w:ascii="Times New Roman" w:hAnsi="Times New Roman"/>
        </w:rPr>
      </w:pPr>
      <w:r>
        <w:rPr>
          <w:rFonts w:hint="eastAsia" w:ascii="黑体" w:hAnsi="黑体" w:eastAsia="黑体" w:cs="黑体"/>
        </w:rPr>
        <w:fldChar w:fldCharType="end"/>
      </w:r>
    </w:p>
    <w:bookmarkEnd w:id="0"/>
    <w:bookmarkEnd w:id="1"/>
    <w:bookmarkEnd w:id="2"/>
    <w:p w14:paraId="0E732179">
      <w:pPr>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outlineLvl w:val="0"/>
        <w:rPr>
          <w:rFonts w:hint="eastAsia" w:ascii="黑体" w:eastAsia="黑体"/>
          <w:sz w:val="32"/>
          <w:szCs w:val="32"/>
        </w:rPr>
      </w:pPr>
      <w:bookmarkStart w:id="3" w:name="_Toc5016"/>
      <w:bookmarkStart w:id="4" w:name="_Toc8514"/>
      <w:r>
        <w:rPr>
          <w:rFonts w:hint="eastAsia" w:ascii="黑体" w:eastAsia="黑体"/>
          <w:sz w:val="32"/>
          <w:szCs w:val="32"/>
        </w:rPr>
        <w:t>第一章  招标公告</w:t>
      </w:r>
      <w:bookmarkEnd w:id="3"/>
      <w:bookmarkEnd w:id="4"/>
    </w:p>
    <w:p w14:paraId="51CA77CB">
      <w:pPr>
        <w:ind w:firstLine="435"/>
        <w:rPr>
          <w:rFonts w:hint="eastAsia"/>
        </w:rPr>
      </w:pPr>
    </w:p>
    <w:p w14:paraId="2A90FB1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sz w:val="24"/>
        </w:rPr>
      </w:pPr>
      <w:r>
        <w:rPr>
          <w:rFonts w:hint="eastAsia"/>
          <w:sz w:val="24"/>
          <w:u w:val="single"/>
          <w:lang w:val="en-US" w:eastAsia="zh-CN"/>
        </w:rPr>
        <w:t xml:space="preserve">         </w:t>
      </w:r>
      <w:r>
        <w:rPr>
          <w:rFonts w:hint="eastAsia"/>
          <w:sz w:val="24"/>
          <w:u w:val="single"/>
        </w:rPr>
        <w:t xml:space="preserve">(项目名称)       </w:t>
      </w:r>
      <w:r>
        <w:rPr>
          <w:rFonts w:hint="eastAsia" w:ascii="黑体" w:eastAsia="黑体"/>
          <w:sz w:val="24"/>
        </w:rPr>
        <w:t>招标公告</w:t>
      </w:r>
    </w:p>
    <w:p w14:paraId="7B69FA48">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黑体" w:eastAsia="黑体"/>
          <w:sz w:val="24"/>
        </w:rPr>
      </w:pPr>
      <w:r>
        <w:rPr>
          <w:rFonts w:hint="eastAsia" w:ascii="黑体" w:eastAsia="黑体"/>
          <w:sz w:val="24"/>
        </w:rPr>
        <w:t>1.招标条件</w:t>
      </w:r>
    </w:p>
    <w:p w14:paraId="7A6AAD3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rPr>
      </w:pPr>
      <w:r>
        <w:rPr>
          <w:rFonts w:hint="eastAsia" w:ascii="Times New Roman" w:hAnsi="Times New Roman" w:eastAsia="宋体" w:cs="Times New Roman"/>
        </w:rPr>
        <w:t>本招标项目</w:t>
      </w:r>
      <w:r>
        <w:rPr>
          <w:rFonts w:hint="eastAsia" w:ascii="Times New Roman" w:hAnsi="Times New Roman" w:eastAsia="宋体" w:cs="Times New Roman"/>
          <w:u w:val="single"/>
        </w:rPr>
        <w:t xml:space="preserve"> </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u w:val="single"/>
        </w:rPr>
        <w:t xml:space="preserve"> (项目名称)</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rPr>
        <w:t>已由</w:t>
      </w:r>
      <w:r>
        <w:rPr>
          <w:rFonts w:hint="eastAsia" w:ascii="Times New Roman" w:hAnsi="Times New Roman" w:eastAsia="宋体" w:cs="Times New Roman"/>
          <w:u w:val="single"/>
        </w:rPr>
        <w:t xml:space="preserve">   (项目审批、核准或备案机关名称)</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以</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u w:val="single"/>
        </w:rPr>
        <w:t>(批文名称及编号)</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rPr>
        <w:t>批准建设，招标人为</w:t>
      </w:r>
      <w:r>
        <w:rPr>
          <w:rFonts w:hint="eastAsia" w:ascii="Times New Roman" w:hAnsi="Times New Roman" w:eastAsia="宋体" w:cs="Times New Roman"/>
          <w:u w:val="single"/>
        </w:rPr>
        <w:t xml:space="preserve"> </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u w:val="single"/>
        </w:rPr>
        <w:t xml:space="preserve"> (</w:t>
      </w:r>
      <w:r>
        <w:rPr>
          <w:rFonts w:hint="eastAsia" w:ascii="Times New Roman" w:hAnsi="Times New Roman" w:eastAsia="宋体" w:cs="Times New Roman"/>
          <w:u w:val="single"/>
          <w:lang w:val="en-US" w:eastAsia="zh-CN"/>
        </w:rPr>
        <w:t>建设单位</w:t>
      </w:r>
      <w:r>
        <w:rPr>
          <w:rFonts w:hint="eastAsia" w:ascii="Times New Roman" w:hAnsi="Times New Roman" w:eastAsia="宋体" w:cs="Times New Roman"/>
          <w:u w:val="single"/>
        </w:rPr>
        <w:t xml:space="preserve">) </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rPr>
        <w:t>，建设资金来自</w:t>
      </w:r>
      <w:r>
        <w:rPr>
          <w:rFonts w:hint="eastAsia" w:ascii="Times New Roman" w:hAnsi="Times New Roman" w:eastAsia="宋体" w:cs="Times New Roman"/>
          <w:u w:val="single"/>
        </w:rPr>
        <w:t xml:space="preserve"> </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u w:val="single"/>
        </w:rPr>
        <w:t xml:space="preserve"> (资金来源)</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rPr>
        <w:t>，项目已具备招标条件，现对该项目进行公开招标。</w:t>
      </w:r>
    </w:p>
    <w:p w14:paraId="75CE71C9">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黑体" w:hAnsi="Times New Roman" w:eastAsia="黑体" w:cs="Times New Roman"/>
          <w:sz w:val="24"/>
        </w:rPr>
      </w:pPr>
      <w:r>
        <w:rPr>
          <w:rFonts w:hint="eastAsia" w:ascii="黑体" w:hAnsi="Times New Roman" w:eastAsia="黑体" w:cs="Times New Roman"/>
          <w:sz w:val="24"/>
        </w:rPr>
        <w:t>2.项目概况与招标范围</w:t>
      </w:r>
    </w:p>
    <w:p w14:paraId="7575E38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2.1项目名称：</w:t>
      </w:r>
    </w:p>
    <w:p w14:paraId="0DEA7C0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2.2建设地点：</w:t>
      </w:r>
    </w:p>
    <w:p w14:paraId="6473D3E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2.3招标规模：</w:t>
      </w:r>
    </w:p>
    <w:p w14:paraId="2892623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2.4标段划分：</w:t>
      </w:r>
    </w:p>
    <w:tbl>
      <w:tblPr>
        <w:tblStyle w:val="2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3"/>
        <w:gridCol w:w="6660"/>
      </w:tblGrid>
      <w:tr w14:paraId="1D87D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3" w:type="dxa"/>
            <w:noWrap w:val="0"/>
            <w:vAlign w:val="center"/>
          </w:tcPr>
          <w:p w14:paraId="7A422259">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eastAsia="宋体"/>
                <w:vertAlign w:val="baseline"/>
                <w:lang w:val="en-US" w:eastAsia="zh-CN"/>
              </w:rPr>
            </w:pPr>
            <w:r>
              <w:rPr>
                <w:rFonts w:hint="eastAsia"/>
                <w:vertAlign w:val="baseline"/>
                <w:lang w:val="en-US" w:eastAsia="zh-CN"/>
              </w:rPr>
              <w:t>标段编号</w:t>
            </w:r>
          </w:p>
        </w:tc>
        <w:tc>
          <w:tcPr>
            <w:tcW w:w="6660" w:type="dxa"/>
            <w:noWrap w:val="0"/>
            <w:vAlign w:val="top"/>
          </w:tcPr>
          <w:p w14:paraId="5E89C66B">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vertAlign w:val="baseline"/>
              </w:rPr>
            </w:pPr>
          </w:p>
        </w:tc>
      </w:tr>
      <w:tr w14:paraId="4A12A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3" w:type="dxa"/>
            <w:noWrap w:val="0"/>
            <w:vAlign w:val="center"/>
          </w:tcPr>
          <w:p w14:paraId="3A9AB693">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eastAsia="宋体"/>
                <w:vertAlign w:val="baseline"/>
                <w:lang w:val="en-US" w:eastAsia="zh-CN"/>
              </w:rPr>
            </w:pPr>
            <w:r>
              <w:rPr>
                <w:rFonts w:hint="eastAsia"/>
                <w:vertAlign w:val="baseline"/>
                <w:lang w:val="en-US" w:eastAsia="zh-CN"/>
              </w:rPr>
              <w:t>标段名称</w:t>
            </w:r>
          </w:p>
        </w:tc>
        <w:tc>
          <w:tcPr>
            <w:tcW w:w="6660" w:type="dxa"/>
            <w:noWrap w:val="0"/>
            <w:vAlign w:val="top"/>
          </w:tcPr>
          <w:p w14:paraId="1CAEA593">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vertAlign w:val="baseline"/>
              </w:rPr>
            </w:pPr>
          </w:p>
        </w:tc>
      </w:tr>
      <w:tr w14:paraId="094CC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3" w:type="dxa"/>
            <w:noWrap w:val="0"/>
            <w:vAlign w:val="center"/>
          </w:tcPr>
          <w:p w14:paraId="72935CE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eastAsia="宋体"/>
                <w:vertAlign w:val="baseline"/>
                <w:lang w:val="en-US" w:eastAsia="zh-CN"/>
              </w:rPr>
            </w:pPr>
            <w:r>
              <w:rPr>
                <w:rFonts w:hint="eastAsia"/>
                <w:vertAlign w:val="baseline"/>
                <w:lang w:val="en-US" w:eastAsia="zh-CN"/>
              </w:rPr>
              <w:t>企业资质要求</w:t>
            </w:r>
          </w:p>
        </w:tc>
        <w:tc>
          <w:tcPr>
            <w:tcW w:w="6660" w:type="dxa"/>
            <w:noWrap w:val="0"/>
            <w:vAlign w:val="top"/>
          </w:tcPr>
          <w:p w14:paraId="324062EE">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vertAlign w:val="baseline"/>
              </w:rPr>
            </w:pPr>
          </w:p>
        </w:tc>
      </w:tr>
      <w:tr w14:paraId="61B3B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3" w:type="dxa"/>
            <w:noWrap w:val="0"/>
            <w:vAlign w:val="center"/>
          </w:tcPr>
          <w:p w14:paraId="7FDFE2FD">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eastAsia="宋体"/>
                <w:vertAlign w:val="baseline"/>
                <w:lang w:val="en-US" w:eastAsia="zh-CN"/>
              </w:rPr>
            </w:pPr>
            <w:r>
              <w:rPr>
                <w:rFonts w:hint="eastAsia"/>
                <w:vertAlign w:val="baseline"/>
                <w:lang w:val="en-US" w:eastAsia="zh-CN"/>
              </w:rPr>
              <w:t>人员资质要求</w:t>
            </w:r>
          </w:p>
        </w:tc>
        <w:tc>
          <w:tcPr>
            <w:tcW w:w="6660" w:type="dxa"/>
            <w:noWrap w:val="0"/>
            <w:vAlign w:val="top"/>
          </w:tcPr>
          <w:p w14:paraId="39E97797">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vertAlign w:val="baseline"/>
              </w:rPr>
            </w:pPr>
          </w:p>
        </w:tc>
      </w:tr>
      <w:tr w14:paraId="00049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3" w:type="dxa"/>
            <w:noWrap w:val="0"/>
            <w:vAlign w:val="center"/>
          </w:tcPr>
          <w:p w14:paraId="75AD84D8">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eastAsia="宋体"/>
                <w:vertAlign w:val="baseline"/>
                <w:lang w:val="en-US" w:eastAsia="zh-CN"/>
              </w:rPr>
            </w:pPr>
            <w:r>
              <w:rPr>
                <w:rFonts w:hint="eastAsia"/>
                <w:vertAlign w:val="baseline"/>
                <w:lang w:val="en-US" w:eastAsia="zh-CN"/>
              </w:rPr>
              <w:t>计划工期</w:t>
            </w:r>
          </w:p>
        </w:tc>
        <w:tc>
          <w:tcPr>
            <w:tcW w:w="6660" w:type="dxa"/>
            <w:noWrap w:val="0"/>
            <w:vAlign w:val="top"/>
          </w:tcPr>
          <w:p w14:paraId="2D95CAD6">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vertAlign w:val="baseline"/>
              </w:rPr>
            </w:pPr>
          </w:p>
        </w:tc>
      </w:tr>
      <w:tr w14:paraId="681B8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3" w:type="dxa"/>
            <w:noWrap w:val="0"/>
            <w:vAlign w:val="center"/>
          </w:tcPr>
          <w:p w14:paraId="7261B0C6">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eastAsia="宋体"/>
                <w:vertAlign w:val="baseline"/>
                <w:lang w:val="en-US" w:eastAsia="zh-CN"/>
              </w:rPr>
            </w:pPr>
            <w:r>
              <w:rPr>
                <w:rFonts w:hint="eastAsia"/>
                <w:vertAlign w:val="baseline"/>
                <w:lang w:val="en-US" w:eastAsia="zh-CN"/>
              </w:rPr>
              <w:t>合同估算价</w:t>
            </w:r>
          </w:p>
        </w:tc>
        <w:tc>
          <w:tcPr>
            <w:tcW w:w="6660" w:type="dxa"/>
            <w:noWrap w:val="0"/>
            <w:vAlign w:val="top"/>
          </w:tcPr>
          <w:p w14:paraId="6183BBD6">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vertAlign w:val="baseline"/>
              </w:rPr>
            </w:pPr>
          </w:p>
        </w:tc>
      </w:tr>
      <w:tr w14:paraId="24559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3" w:type="dxa"/>
            <w:noWrap w:val="0"/>
            <w:vAlign w:val="center"/>
          </w:tcPr>
          <w:p w14:paraId="330A4B01">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eastAsia="宋体"/>
                <w:vertAlign w:val="baseline"/>
                <w:lang w:val="en-US" w:eastAsia="zh-CN"/>
              </w:rPr>
            </w:pPr>
            <w:r>
              <w:rPr>
                <w:rFonts w:hint="eastAsia"/>
                <w:vertAlign w:val="baseline"/>
                <w:lang w:val="en-US" w:eastAsia="zh-CN"/>
              </w:rPr>
              <w:t>招标内容</w:t>
            </w:r>
          </w:p>
        </w:tc>
        <w:tc>
          <w:tcPr>
            <w:tcW w:w="6660" w:type="dxa"/>
            <w:noWrap w:val="0"/>
            <w:vAlign w:val="top"/>
          </w:tcPr>
          <w:p w14:paraId="14349184">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vertAlign w:val="baseline"/>
              </w:rPr>
            </w:pPr>
          </w:p>
        </w:tc>
      </w:tr>
    </w:tbl>
    <w:p w14:paraId="66BAD2A4">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黑体" w:hAnsi="Times New Roman" w:eastAsia="黑体" w:cs="Times New Roman"/>
          <w:sz w:val="24"/>
        </w:rPr>
      </w:pPr>
      <w:r>
        <w:rPr>
          <w:rFonts w:hint="eastAsia" w:ascii="黑体" w:hAnsi="Times New Roman" w:eastAsia="黑体" w:cs="Times New Roman"/>
          <w:sz w:val="24"/>
        </w:rPr>
        <w:t>3.投标人资格要求</w:t>
      </w:r>
    </w:p>
    <w:p w14:paraId="53B9BDF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u w:val="single"/>
        </w:rPr>
      </w:pPr>
      <w:r>
        <w:rPr>
          <w:rFonts w:hint="eastAsia" w:ascii="Times New Roman" w:hAnsi="Times New Roman" w:eastAsia="宋体" w:cs="Times New Roman"/>
          <w:u w:val="none"/>
        </w:rPr>
        <w:t>3.1本次招标</w:t>
      </w:r>
      <w:r>
        <w:rPr>
          <w:rFonts w:hint="eastAsia" w:ascii="Times New Roman" w:hAnsi="Times New Roman" w:eastAsia="宋体" w:cs="Times New Roman"/>
          <w:u w:val="single"/>
        </w:rPr>
        <w:t xml:space="preserve">   (接受或不接受)</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u w:val="none"/>
        </w:rPr>
        <w:t>联合体投标。联合体投标的，应满足下列要求：</w:t>
      </w:r>
      <w:r>
        <w:rPr>
          <w:rFonts w:hint="eastAsia" w:ascii="Times New Roman" w:hAnsi="Times New Roman" w:eastAsia="宋体" w:cs="Times New Roman"/>
          <w:u w:val="single"/>
        </w:rPr>
        <w:t xml:space="preserve">                                  </w:t>
      </w:r>
      <w:r>
        <w:rPr>
          <w:rFonts w:hint="eastAsia" w:ascii="Times New Roman" w:hAnsi="Times New Roman" w:eastAsia="宋体" w:cs="Times New Roman"/>
          <w:u w:val="none"/>
        </w:rPr>
        <w:t>。</w:t>
      </w:r>
    </w:p>
    <w:p w14:paraId="442C8B5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u w:val="none"/>
          <w:lang w:val="en-US" w:eastAsia="zh-CN"/>
        </w:rPr>
      </w:pPr>
      <w:r>
        <w:rPr>
          <w:rFonts w:hint="eastAsia" w:ascii="Times New Roman" w:hAnsi="Times New Roman" w:eastAsia="宋体" w:cs="Times New Roman"/>
          <w:u w:val="none"/>
        </w:rPr>
        <w:t>3.</w:t>
      </w:r>
      <w:r>
        <w:rPr>
          <w:rFonts w:hint="eastAsia" w:ascii="Times New Roman" w:hAnsi="Times New Roman" w:eastAsia="宋体" w:cs="Times New Roman"/>
          <w:u w:val="none"/>
          <w:lang w:val="en-US" w:eastAsia="zh-CN"/>
        </w:rPr>
        <w:t>2其他要求：</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u w:val="none"/>
          <w:lang w:val="en-US" w:eastAsia="zh-CN"/>
        </w:rPr>
        <w:t>。</w:t>
      </w:r>
    </w:p>
    <w:p w14:paraId="2DAC7C12">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黑体" w:hAnsi="Times New Roman" w:eastAsia="黑体" w:cs="Times New Roman"/>
          <w:sz w:val="24"/>
        </w:rPr>
      </w:pPr>
      <w:r>
        <w:rPr>
          <w:rFonts w:hint="eastAsia" w:ascii="黑体" w:hAnsi="Times New Roman" w:eastAsia="黑体" w:cs="Times New Roman"/>
          <w:sz w:val="24"/>
          <w:lang w:val="en-US" w:eastAsia="zh-CN"/>
        </w:rPr>
        <w:t>4</w:t>
      </w:r>
      <w:r>
        <w:rPr>
          <w:rFonts w:hint="eastAsia" w:ascii="黑体" w:hAnsi="Times New Roman" w:eastAsia="黑体" w:cs="Times New Roman"/>
          <w:sz w:val="24"/>
        </w:rPr>
        <w:t>.招标文件的获取</w:t>
      </w:r>
    </w:p>
    <w:p w14:paraId="5D531BF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u w:val="none"/>
          <w:lang w:val="en-US" w:eastAsia="zh-CN"/>
        </w:rPr>
      </w:pPr>
      <w:r>
        <w:rPr>
          <w:rFonts w:hint="eastAsia" w:ascii="宋体" w:hAnsi="宋体" w:eastAsia="宋体" w:cs="宋体"/>
          <w:color w:val="auto"/>
          <w:u w:val="none"/>
          <w:lang w:val="en-US" w:eastAsia="zh-CN"/>
        </w:rPr>
        <w:t>凡有意参加投标者，请于</w:t>
      </w:r>
      <w:r>
        <w:rPr>
          <w:rFonts w:hint="eastAsia" w:ascii="宋体" w:hAnsi="宋体" w:eastAsia="宋体" w:cs="宋体"/>
          <w:color w:val="auto"/>
          <w:u w:val="single"/>
          <w:lang w:val="en-US" w:eastAsia="zh-CN"/>
        </w:rPr>
        <w:t xml:space="preserve">    年  月  日  时至    年  月  日  时  分</w:t>
      </w:r>
      <w:r>
        <w:rPr>
          <w:rFonts w:hint="eastAsia" w:ascii="宋体" w:hAnsi="宋体" w:eastAsia="宋体" w:cs="宋体"/>
          <w:color w:val="auto"/>
          <w:u w:val="none"/>
          <w:lang w:val="en-US" w:eastAsia="zh-CN"/>
        </w:rPr>
        <w:t>（北京时间，下同)，登录</w:t>
      </w:r>
      <w:r>
        <w:rPr>
          <w:rFonts w:hint="eastAsia" w:ascii="Times New Roman" w:hAnsi="Times New Roman" w:eastAsia="宋体" w:cs="Times New Roman"/>
          <w:u w:val="single"/>
        </w:rPr>
        <w:t xml:space="preserve">                                  </w:t>
      </w:r>
      <w:r>
        <w:rPr>
          <w:rFonts w:hint="eastAsia" w:ascii="宋体" w:hAnsi="宋体" w:eastAsia="宋体" w:cs="宋体"/>
          <w:color w:val="auto"/>
          <w:u w:val="none"/>
          <w:lang w:val="en-US" w:eastAsia="zh-CN"/>
        </w:rPr>
        <w:t>免费下载电子招标文件，图纸等其他文件的领取详见招标文件下载页面。</w:t>
      </w:r>
    </w:p>
    <w:p w14:paraId="53101001">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黑体" w:hAnsi="Times New Roman" w:eastAsia="黑体" w:cs="Times New Roman"/>
          <w:sz w:val="24"/>
          <w:lang w:val="en-US" w:eastAsia="zh-CN"/>
        </w:rPr>
      </w:pPr>
      <w:r>
        <w:rPr>
          <w:rFonts w:hint="eastAsia" w:ascii="黑体" w:hAnsi="Times New Roman" w:eastAsia="黑体" w:cs="Times New Roman"/>
          <w:sz w:val="24"/>
          <w:lang w:val="en-US" w:eastAsia="zh-CN"/>
        </w:rPr>
        <w:t>5.投标文件的递交</w:t>
      </w:r>
    </w:p>
    <w:p w14:paraId="56E8973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u w:val="none"/>
          <w:lang w:val="en-US" w:eastAsia="zh-CN"/>
        </w:rPr>
      </w:pPr>
      <w:r>
        <w:rPr>
          <w:rFonts w:hint="eastAsia" w:ascii="宋体" w:hAnsi="宋体" w:eastAsia="宋体" w:cs="宋体"/>
          <w:color w:val="auto"/>
          <w:u w:val="none"/>
          <w:lang w:val="en-US" w:eastAsia="zh-CN"/>
        </w:rPr>
        <w:t>5.1投标文件递交的截止时间（投标截止时间，下同）为</w:t>
      </w:r>
      <w:r>
        <w:rPr>
          <w:rFonts w:hint="eastAsia" w:ascii="宋体" w:hAnsi="宋体" w:eastAsia="宋体" w:cs="宋体"/>
          <w:color w:val="auto"/>
          <w:u w:val="single"/>
          <w:lang w:val="en-US" w:eastAsia="zh-CN"/>
        </w:rPr>
        <w:t xml:space="preserve">    年  月  日  时  分</w:t>
      </w:r>
      <w:r>
        <w:rPr>
          <w:rFonts w:hint="eastAsia" w:ascii="宋体" w:hAnsi="宋体" w:eastAsia="宋体" w:cs="宋体"/>
          <w:color w:val="auto"/>
          <w:u w:val="none"/>
          <w:lang w:val="en-US" w:eastAsia="zh-CN"/>
        </w:rPr>
        <w:t>，投标人应在截止时间前通过</w:t>
      </w:r>
      <w:r>
        <w:rPr>
          <w:rFonts w:hint="eastAsia" w:ascii="Times New Roman" w:hAnsi="Times New Roman" w:eastAsia="宋体" w:cs="Times New Roman"/>
          <w:u w:val="single"/>
        </w:rPr>
        <w:t xml:space="preserve">                                  </w:t>
      </w:r>
      <w:r>
        <w:rPr>
          <w:rFonts w:hint="eastAsia" w:ascii="宋体" w:hAnsi="宋体" w:eastAsia="宋体" w:cs="宋体"/>
          <w:color w:val="auto"/>
          <w:u w:val="none"/>
          <w:lang w:val="en-US" w:eastAsia="zh-CN"/>
        </w:rPr>
        <w:t>递交电子投标文件。</w:t>
      </w:r>
    </w:p>
    <w:p w14:paraId="1E85379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u w:val="none"/>
          <w:lang w:val="en-US" w:eastAsia="zh-CN"/>
        </w:rPr>
      </w:pPr>
      <w:r>
        <w:rPr>
          <w:rFonts w:hint="eastAsia" w:ascii="宋体" w:hAnsi="宋体" w:eastAsia="宋体" w:cs="宋体"/>
          <w:color w:val="auto"/>
          <w:u w:val="none"/>
          <w:lang w:val="en-US" w:eastAsia="zh-CN"/>
        </w:rPr>
        <w:t>5.2 逾期送达的投标文件，呼和浩特市公共资源交易平台将予以拒收。</w:t>
      </w:r>
    </w:p>
    <w:p w14:paraId="12AC8DB1">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黑体" w:eastAsia="黑体"/>
          <w:sz w:val="24"/>
        </w:rPr>
      </w:pPr>
      <w:r>
        <w:rPr>
          <w:rFonts w:hint="eastAsia" w:ascii="黑体" w:eastAsia="黑体"/>
          <w:sz w:val="24"/>
          <w:lang w:val="en-US" w:eastAsia="zh-CN"/>
        </w:rPr>
        <w:t>6</w:t>
      </w:r>
      <w:r>
        <w:rPr>
          <w:rFonts w:hint="eastAsia" w:ascii="黑体" w:eastAsia="黑体"/>
          <w:sz w:val="24"/>
        </w:rPr>
        <w:t>.发布</w:t>
      </w:r>
      <w:r>
        <w:rPr>
          <w:rFonts w:hint="eastAsia" w:ascii="黑体" w:hAnsi="Times New Roman" w:eastAsia="黑体" w:cs="Times New Roman"/>
          <w:sz w:val="24"/>
          <w:lang w:val="en-US" w:eastAsia="zh-CN"/>
        </w:rPr>
        <w:t>公告</w:t>
      </w:r>
      <w:r>
        <w:rPr>
          <w:rFonts w:hint="eastAsia" w:ascii="黑体" w:eastAsia="黑体"/>
          <w:sz w:val="24"/>
        </w:rPr>
        <w:t>的媒介</w:t>
      </w:r>
    </w:p>
    <w:p w14:paraId="4C0BA2A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6.1呼和浩特市公共资源交易网（https://ggzyjy.nmg.gov.cn/msym/hhhtsggzyjyw）</w:t>
      </w:r>
    </w:p>
    <w:p w14:paraId="0D7C5C7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6.2内蒙古自治区公共资源交易网（http://ggzyjy.nmg.gov.cn）</w:t>
      </w:r>
    </w:p>
    <w:p w14:paraId="6A891FFA">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default" w:ascii="黑体" w:eastAsia="黑体"/>
          <w:sz w:val="24"/>
          <w:lang w:val="en-US" w:eastAsia="zh-CN"/>
        </w:rPr>
      </w:pPr>
      <w:r>
        <w:rPr>
          <w:rFonts w:hint="eastAsia" w:ascii="黑体" w:eastAsia="黑体"/>
          <w:sz w:val="24"/>
          <w:lang w:val="en-US" w:eastAsia="zh-CN"/>
        </w:rPr>
        <w:t>7</w:t>
      </w:r>
      <w:r>
        <w:rPr>
          <w:rFonts w:hint="eastAsia" w:ascii="黑体" w:eastAsia="黑体"/>
          <w:sz w:val="24"/>
        </w:rPr>
        <w:t>.</w:t>
      </w:r>
      <w:r>
        <w:rPr>
          <w:rFonts w:hint="eastAsia" w:ascii="黑体" w:eastAsia="黑体"/>
          <w:sz w:val="24"/>
          <w:lang w:val="en-US" w:eastAsia="zh-CN"/>
        </w:rPr>
        <w:t>其他说明</w:t>
      </w:r>
    </w:p>
    <w:p w14:paraId="63FC841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color w:val="auto"/>
          <w:u w:val="none"/>
          <w:lang w:val="en-US" w:eastAsia="zh-CN"/>
        </w:rPr>
      </w:pPr>
      <w:r>
        <w:rPr>
          <w:rFonts w:hint="eastAsia" w:ascii="Times New Roman" w:hAnsi="Times New Roman" w:eastAsia="宋体" w:cs="Times New Roman"/>
          <w:color w:val="auto"/>
          <w:u w:val="none"/>
          <w:lang w:val="en-US" w:eastAsia="zh-CN"/>
        </w:rPr>
        <w:t>7.1本项目</w:t>
      </w:r>
      <w:r>
        <w:rPr>
          <w:rFonts w:hint="eastAsia" w:ascii="Times New Roman" w:hAnsi="Times New Roman" w:eastAsia="宋体" w:cs="Times New Roman"/>
          <w:color w:val="auto"/>
          <w:highlight w:val="none"/>
          <w:u w:val="none"/>
          <w:lang w:val="en-US" w:eastAsia="zh-CN"/>
        </w:rPr>
        <w:t>使用</w:t>
      </w:r>
      <w:r>
        <w:rPr>
          <w:rFonts w:hint="eastAsia" w:ascii="Times New Roman" w:hAnsi="Times New Roman" w:eastAsia="宋体" w:cs="Times New Roman"/>
          <w:u w:val="single"/>
        </w:rPr>
        <w:t xml:space="preserve">                                  </w:t>
      </w:r>
      <w:r>
        <w:rPr>
          <w:rFonts w:hint="eastAsia" w:ascii="Times New Roman" w:hAnsi="Times New Roman" w:eastAsia="宋体" w:cs="Times New Roman"/>
          <w:color w:val="auto"/>
          <w:u w:val="none"/>
          <w:lang w:val="en-US" w:eastAsia="zh-CN"/>
        </w:rPr>
        <w:t>进行招标，请登录交易平台进行入库、投标操作，具体操作手册详见</w:t>
      </w:r>
      <w:r>
        <w:rPr>
          <w:rFonts w:hint="eastAsia" w:ascii="Times New Roman" w:hAnsi="Times New Roman" w:eastAsia="宋体" w:cs="Times New Roman"/>
          <w:u w:val="none"/>
          <w:lang w:val="en-US" w:eastAsia="zh-CN"/>
        </w:rPr>
        <w:t>呼和浩特市公共资源交易网</w:t>
      </w:r>
      <w:r>
        <w:rPr>
          <w:rFonts w:hint="eastAsia" w:ascii="宋体" w:hAnsi="宋体" w:eastAsia="宋体" w:cs="宋体"/>
          <w:color w:val="auto"/>
          <w:u w:val="none"/>
          <w:lang w:val="en-US" w:eastAsia="zh-CN"/>
        </w:rPr>
        <w:t>“操作手册”</w:t>
      </w:r>
      <w:r>
        <w:rPr>
          <w:rFonts w:hint="eastAsia" w:ascii="Times New Roman" w:hAnsi="Times New Roman" w:eastAsia="宋体" w:cs="Times New Roman"/>
          <w:color w:val="auto"/>
          <w:u w:val="none"/>
          <w:lang w:val="en-US" w:eastAsia="zh-CN"/>
        </w:rPr>
        <w:t>栏目下载查看。</w:t>
      </w:r>
    </w:p>
    <w:p w14:paraId="0917A3A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color w:val="auto"/>
          <w:u w:val="none"/>
          <w:lang w:val="en-US" w:eastAsia="zh-CN"/>
        </w:rPr>
        <w:t>7.2本项目采用</w:t>
      </w:r>
      <w:r>
        <w:rPr>
          <w:rFonts w:hint="eastAsia" w:ascii="Times New Roman" w:hAnsi="Times New Roman" w:eastAsia="宋体" w:cs="Times New Roman"/>
          <w:u w:val="single"/>
        </w:rPr>
        <w:t xml:space="preserve">                                  </w:t>
      </w:r>
      <w:r>
        <w:rPr>
          <w:rFonts w:hint="eastAsia" w:ascii="Times New Roman" w:hAnsi="Times New Roman" w:eastAsia="宋体" w:cs="Times New Roman"/>
          <w:color w:val="auto"/>
          <w:u w:val="none"/>
          <w:lang w:val="en-US" w:eastAsia="zh-CN"/>
        </w:rPr>
        <w:t>进行开标，投标人无需到达开标现场，开</w:t>
      </w:r>
      <w:r>
        <w:rPr>
          <w:rFonts w:hint="eastAsia" w:ascii="Times New Roman" w:hAnsi="Times New Roman" w:eastAsia="宋体" w:cs="Times New Roman"/>
          <w:u w:val="none"/>
          <w:lang w:val="en-US" w:eastAsia="zh-CN"/>
        </w:rPr>
        <w:t>标当日在投标截止时间前登录</w:t>
      </w:r>
      <w:r>
        <w:rPr>
          <w:rFonts w:hint="eastAsia" w:ascii="Times New Roman" w:hAnsi="Times New Roman" w:eastAsia="宋体" w:cs="Times New Roman"/>
          <w:u w:val="single"/>
        </w:rPr>
        <w:t xml:space="preserve">                                  </w:t>
      </w:r>
      <w:r>
        <w:rPr>
          <w:rFonts w:hint="eastAsia" w:ascii="Times New Roman" w:hAnsi="Times New Roman" w:eastAsia="宋体" w:cs="Times New Roman"/>
          <w:u w:val="none"/>
          <w:lang w:val="en-US" w:eastAsia="zh-CN"/>
        </w:rPr>
        <w:t>在线参加开标会议。登录时使用</w:t>
      </w:r>
      <w:r>
        <w:rPr>
          <w:rFonts w:hint="eastAsia" w:ascii="Times New Roman" w:hAnsi="Times New Roman" w:eastAsia="宋体" w:cs="Times New Roman"/>
          <w:u w:val="single"/>
        </w:rPr>
        <w:t xml:space="preserve">                                  </w:t>
      </w:r>
      <w:r>
        <w:rPr>
          <w:rFonts w:hint="eastAsia" w:ascii="Times New Roman" w:hAnsi="Times New Roman" w:eastAsia="宋体" w:cs="Times New Roman"/>
          <w:u w:val="none"/>
          <w:lang w:val="en-US" w:eastAsia="zh-CN"/>
        </w:rPr>
        <w:t>的CA锁或标证通移动证书。</w:t>
      </w:r>
    </w:p>
    <w:p w14:paraId="2BCAB751">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黑体" w:eastAsia="黑体"/>
          <w:sz w:val="24"/>
        </w:rPr>
      </w:pPr>
      <w:r>
        <w:rPr>
          <w:rFonts w:hint="eastAsia" w:ascii="黑体" w:eastAsia="黑体"/>
          <w:sz w:val="24"/>
          <w:lang w:val="en-US" w:eastAsia="zh-CN"/>
        </w:rPr>
        <w:t>8</w:t>
      </w:r>
      <w:r>
        <w:rPr>
          <w:rFonts w:hint="eastAsia" w:ascii="黑体" w:eastAsia="黑体"/>
          <w:sz w:val="24"/>
        </w:rPr>
        <w:t>.</w:t>
      </w:r>
      <w:r>
        <w:rPr>
          <w:rFonts w:hint="eastAsia" w:ascii="黑体" w:hAnsi="Times New Roman" w:eastAsia="黑体" w:cs="Times New Roman"/>
          <w:sz w:val="24"/>
          <w:lang w:val="en-US" w:eastAsia="zh-CN"/>
        </w:rPr>
        <w:t>联系</w:t>
      </w:r>
      <w:r>
        <w:rPr>
          <w:rFonts w:hint="eastAsia" w:ascii="黑体" w:eastAsia="黑体"/>
          <w:sz w:val="24"/>
        </w:rPr>
        <w:t>方式</w:t>
      </w:r>
    </w:p>
    <w:p w14:paraId="7C04A0AD">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Times New Roman" w:hAnsi="Times New Roman" w:eastAsia="宋体" w:cs="Times New Roman"/>
          <w:b/>
          <w:bCs/>
          <w:u w:val="none"/>
          <w:lang w:val="en-US" w:eastAsia="zh-CN"/>
        </w:rPr>
      </w:pPr>
      <w:r>
        <w:rPr>
          <w:rFonts w:hint="eastAsia" w:ascii="Times New Roman" w:hAnsi="Times New Roman" w:eastAsia="宋体" w:cs="Times New Roman"/>
          <w:b/>
          <w:bCs/>
          <w:u w:val="none"/>
          <w:lang w:val="en-US" w:eastAsia="zh-CN"/>
        </w:rPr>
        <w:t>招 标 人：</w:t>
      </w:r>
    </w:p>
    <w:p w14:paraId="025437D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地     址：                </w:t>
      </w:r>
    </w:p>
    <w:p w14:paraId="4E0EFD5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联 系 人：</w:t>
      </w:r>
    </w:p>
    <w:p w14:paraId="2DD6472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联系电话：</w:t>
      </w:r>
    </w:p>
    <w:p w14:paraId="5D106EC2">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Times New Roman" w:hAnsi="Times New Roman" w:eastAsia="宋体" w:cs="Times New Roman"/>
          <w:b/>
          <w:bCs/>
          <w:u w:val="none"/>
          <w:lang w:val="en-US" w:eastAsia="zh-CN"/>
        </w:rPr>
      </w:pPr>
      <w:r>
        <w:rPr>
          <w:rFonts w:hint="eastAsia" w:ascii="Times New Roman" w:hAnsi="Times New Roman" w:eastAsia="宋体" w:cs="Times New Roman"/>
          <w:b/>
          <w:bCs/>
          <w:u w:val="none"/>
          <w:lang w:val="en-US" w:eastAsia="zh-CN"/>
        </w:rPr>
        <w:t>招标代理：</w:t>
      </w:r>
    </w:p>
    <w:p w14:paraId="30F7A3F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地    址：</w:t>
      </w:r>
    </w:p>
    <w:p w14:paraId="1F4F590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联 系 人：</w:t>
      </w:r>
    </w:p>
    <w:p w14:paraId="77F78A5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联系电话：</w:t>
      </w:r>
    </w:p>
    <w:p w14:paraId="27D87F3B">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Times New Roman" w:hAnsi="Times New Roman" w:eastAsia="宋体" w:cs="Times New Roman"/>
          <w:b/>
          <w:bCs/>
          <w:u w:val="none"/>
          <w:lang w:val="en-US" w:eastAsia="zh-CN"/>
        </w:rPr>
      </w:pPr>
      <w:r>
        <w:rPr>
          <w:rFonts w:hint="eastAsia" w:ascii="Times New Roman" w:hAnsi="Times New Roman" w:eastAsia="宋体" w:cs="Times New Roman"/>
          <w:b/>
          <w:bCs/>
          <w:u w:val="none"/>
          <w:lang w:val="en-US" w:eastAsia="zh-CN"/>
        </w:rPr>
        <w:t>行业监管：</w:t>
      </w:r>
    </w:p>
    <w:p w14:paraId="6DF26DA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地      址：</w:t>
      </w:r>
    </w:p>
    <w:p w14:paraId="2A953A9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pPr>
      <w:r>
        <w:rPr>
          <w:rFonts w:hint="eastAsia" w:ascii="Times New Roman" w:hAnsi="Times New Roman" w:eastAsia="宋体" w:cs="Times New Roman"/>
          <w:u w:val="none"/>
          <w:lang w:val="en-US" w:eastAsia="zh-CN"/>
        </w:rPr>
        <w:t>联系电话：</w:t>
      </w:r>
    </w:p>
    <w:p w14:paraId="655548F4">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default" w:ascii="Times New Roman" w:hAnsi="Times New Roman" w:eastAsia="宋体" w:cs="Times New Roman"/>
          <w:b/>
          <w:bCs/>
          <w:u w:val="none"/>
          <w:lang w:val="en-US" w:eastAsia="zh-CN"/>
        </w:rPr>
      </w:pPr>
      <w:r>
        <w:rPr>
          <w:rFonts w:hint="eastAsia" w:ascii="Times New Roman" w:hAnsi="Times New Roman" w:eastAsia="宋体" w:cs="Times New Roman"/>
          <w:b/>
          <w:bCs/>
          <w:u w:val="none"/>
          <w:lang w:val="en-US" w:eastAsia="zh-CN"/>
        </w:rPr>
        <w:t>综合监管：呼和浩特市公共资源交易监督管理局</w:t>
      </w:r>
    </w:p>
    <w:p w14:paraId="20A90DA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地      址：内蒙古自治区呼和浩特市新城区丁香路2号</w:t>
      </w:r>
    </w:p>
    <w:p w14:paraId="0FDA77F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lang w:val="en-US" w:eastAsia="zh-CN"/>
        </w:rPr>
      </w:pPr>
      <w:r>
        <w:rPr>
          <w:rFonts w:hint="eastAsia" w:ascii="Times New Roman" w:hAnsi="Times New Roman" w:eastAsia="宋体" w:cs="Times New Roman"/>
          <w:u w:val="none"/>
          <w:lang w:val="en-US" w:eastAsia="zh-CN"/>
        </w:rPr>
        <w:t>联系电话：0471-5988101</w:t>
      </w:r>
    </w:p>
    <w:p w14:paraId="4887E118">
      <w:pPr>
        <w:keepNext w:val="0"/>
        <w:keepLines w:val="0"/>
        <w:pageBreakBefore w:val="0"/>
        <w:widowControl w:val="0"/>
        <w:kinsoku/>
        <w:wordWrap/>
        <w:overflowPunct/>
        <w:topLinePunct w:val="0"/>
        <w:autoSpaceDE/>
        <w:autoSpaceDN/>
        <w:bidi w:val="0"/>
        <w:adjustRightInd/>
        <w:snapToGrid/>
        <w:spacing w:line="360" w:lineRule="auto"/>
        <w:ind w:firstLine="0" w:firstLineChars="0"/>
        <w:jc w:val="right"/>
        <w:textAlignment w:val="auto"/>
        <w:rPr>
          <w:rFonts w:hint="eastAsia"/>
        </w:rPr>
      </w:pPr>
      <w:r>
        <w:rPr>
          <w:rFonts w:hint="eastAsia"/>
        </w:rPr>
        <w:t xml:space="preserve">  </w:t>
      </w:r>
      <w:r>
        <w:rPr>
          <w:rFonts w:hint="eastAsia"/>
          <w:u w:val="single"/>
        </w:rPr>
        <w:t xml:space="preserve">        年      月       日</w:t>
      </w:r>
    </w:p>
    <w:p w14:paraId="5B851035">
      <w:pPr>
        <w:pStyle w:val="2"/>
        <w:spacing w:line="480" w:lineRule="auto"/>
        <w:jc w:val="center"/>
        <w:rPr>
          <w:color w:val="000000"/>
        </w:rPr>
      </w:pPr>
      <w:r>
        <w:rPr>
          <w:rFonts w:ascii="黑体" w:eastAsia="黑体"/>
          <w:sz w:val="28"/>
          <w:szCs w:val="28"/>
        </w:rPr>
        <w:br w:type="page"/>
      </w:r>
      <w:bookmarkStart w:id="5" w:name="_Toc7889"/>
      <w:r>
        <w:rPr>
          <w:color w:val="000000"/>
        </w:rPr>
        <w:t>第二章投标人须知</w:t>
      </w:r>
      <w:bookmarkEnd w:id="5"/>
    </w:p>
    <w:p w14:paraId="767EAC50">
      <w:pPr>
        <w:pStyle w:val="3"/>
        <w:rPr>
          <w:rFonts w:ascii="Times New Roman" w:hAnsi="Times New Roman"/>
          <w:color w:val="000000"/>
        </w:rPr>
      </w:pPr>
      <w:bookmarkStart w:id="6" w:name="_Toc12109"/>
      <w:r>
        <w:rPr>
          <w:rFonts w:ascii="Times New Roman" w:hAnsi="Times New Roman"/>
          <w:color w:val="000000"/>
        </w:rPr>
        <w:t>投标人须知前附表</w:t>
      </w:r>
      <w:bookmarkEnd w:id="6"/>
    </w:p>
    <w:tbl>
      <w:tblPr>
        <w:tblStyle w:val="25"/>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5"/>
        <w:gridCol w:w="2641"/>
        <w:gridCol w:w="5516"/>
      </w:tblGrid>
      <w:tr w14:paraId="246700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165" w:type="dxa"/>
            <w:vAlign w:val="center"/>
          </w:tcPr>
          <w:p w14:paraId="609563F3">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b/>
                <w:color w:val="000000"/>
                <w:sz w:val="21"/>
                <w:szCs w:val="21"/>
              </w:rPr>
            </w:pPr>
            <w:r>
              <w:rPr>
                <w:rFonts w:hint="eastAsia" w:ascii="宋体" w:hAnsi="宋体" w:eastAsia="宋体" w:cs="宋体"/>
                <w:b/>
                <w:color w:val="000000"/>
                <w:sz w:val="21"/>
                <w:szCs w:val="21"/>
              </w:rPr>
              <w:t>条款号</w:t>
            </w:r>
          </w:p>
        </w:tc>
        <w:tc>
          <w:tcPr>
            <w:tcW w:w="2641" w:type="dxa"/>
            <w:vAlign w:val="center"/>
          </w:tcPr>
          <w:p w14:paraId="0317A5C0">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b/>
                <w:color w:val="000000"/>
                <w:sz w:val="21"/>
                <w:szCs w:val="21"/>
              </w:rPr>
            </w:pPr>
            <w:r>
              <w:rPr>
                <w:rFonts w:hint="eastAsia" w:ascii="宋体" w:hAnsi="宋体" w:eastAsia="宋体" w:cs="宋体"/>
                <w:b/>
                <w:color w:val="000000"/>
                <w:sz w:val="21"/>
                <w:szCs w:val="21"/>
              </w:rPr>
              <w:t>条款名称</w:t>
            </w:r>
          </w:p>
        </w:tc>
        <w:tc>
          <w:tcPr>
            <w:tcW w:w="5516" w:type="dxa"/>
            <w:vAlign w:val="center"/>
          </w:tcPr>
          <w:p w14:paraId="20BFD2F9">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b/>
                <w:color w:val="000000"/>
                <w:sz w:val="21"/>
                <w:szCs w:val="21"/>
              </w:rPr>
            </w:pPr>
            <w:r>
              <w:rPr>
                <w:rFonts w:hint="eastAsia" w:ascii="宋体" w:hAnsi="宋体" w:eastAsia="宋体" w:cs="宋体"/>
                <w:b/>
                <w:color w:val="000000"/>
                <w:sz w:val="21"/>
                <w:szCs w:val="21"/>
              </w:rPr>
              <w:t>编列内容</w:t>
            </w:r>
          </w:p>
        </w:tc>
      </w:tr>
      <w:tr w14:paraId="59CBA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61637DC0">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1.1.2</w:t>
            </w:r>
          </w:p>
        </w:tc>
        <w:tc>
          <w:tcPr>
            <w:tcW w:w="2641" w:type="dxa"/>
            <w:vAlign w:val="center"/>
          </w:tcPr>
          <w:p w14:paraId="1D92C08B">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招标人</w:t>
            </w:r>
          </w:p>
        </w:tc>
        <w:tc>
          <w:tcPr>
            <w:tcW w:w="5516" w:type="dxa"/>
            <w:vAlign w:val="center"/>
          </w:tcPr>
          <w:p w14:paraId="52B1F0C4">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名称：</w:t>
            </w:r>
          </w:p>
          <w:p w14:paraId="582E1C96">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地址：</w:t>
            </w:r>
          </w:p>
          <w:p w14:paraId="2EB85731">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联系人：</w:t>
            </w:r>
          </w:p>
          <w:p w14:paraId="169BA08E">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电话：</w:t>
            </w:r>
          </w:p>
          <w:p w14:paraId="2EB61AD2">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电子邮件：</w:t>
            </w:r>
          </w:p>
        </w:tc>
      </w:tr>
      <w:tr w14:paraId="45A54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22B8DE17">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1.1.3</w:t>
            </w:r>
          </w:p>
        </w:tc>
        <w:tc>
          <w:tcPr>
            <w:tcW w:w="2641" w:type="dxa"/>
            <w:vAlign w:val="center"/>
          </w:tcPr>
          <w:p w14:paraId="64786A65">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招标代理机构</w:t>
            </w:r>
          </w:p>
        </w:tc>
        <w:tc>
          <w:tcPr>
            <w:tcW w:w="5516" w:type="dxa"/>
            <w:vAlign w:val="center"/>
          </w:tcPr>
          <w:p w14:paraId="4DD2ADCD">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名称：</w:t>
            </w:r>
          </w:p>
          <w:p w14:paraId="274F9055">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地址：</w:t>
            </w:r>
          </w:p>
          <w:p w14:paraId="62C1D0ED">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联系人：</w:t>
            </w:r>
          </w:p>
          <w:p w14:paraId="1D4049D8">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电话：</w:t>
            </w:r>
          </w:p>
          <w:p w14:paraId="5FA2A30A">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电子邮件：</w:t>
            </w:r>
          </w:p>
        </w:tc>
      </w:tr>
      <w:tr w14:paraId="5EE01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09878097">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1.1.4</w:t>
            </w:r>
          </w:p>
        </w:tc>
        <w:tc>
          <w:tcPr>
            <w:tcW w:w="2641" w:type="dxa"/>
            <w:vAlign w:val="center"/>
          </w:tcPr>
          <w:p w14:paraId="75A94566">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招标项目名称</w:t>
            </w:r>
          </w:p>
        </w:tc>
        <w:tc>
          <w:tcPr>
            <w:tcW w:w="5516" w:type="dxa"/>
            <w:vAlign w:val="center"/>
          </w:tcPr>
          <w:p w14:paraId="65EEB3C1">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p>
        </w:tc>
      </w:tr>
      <w:tr w14:paraId="2BF66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276E6DDD">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1.1.5</w:t>
            </w:r>
          </w:p>
        </w:tc>
        <w:tc>
          <w:tcPr>
            <w:tcW w:w="2641" w:type="dxa"/>
            <w:vAlign w:val="center"/>
          </w:tcPr>
          <w:p w14:paraId="5128FDAC">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工程项目名称</w:t>
            </w:r>
          </w:p>
        </w:tc>
        <w:tc>
          <w:tcPr>
            <w:tcW w:w="5516" w:type="dxa"/>
            <w:vAlign w:val="center"/>
          </w:tcPr>
          <w:p w14:paraId="3DCEA8B5">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p>
        </w:tc>
      </w:tr>
      <w:tr w14:paraId="09C1C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6E47DD5A">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1.2.1</w:t>
            </w:r>
          </w:p>
        </w:tc>
        <w:tc>
          <w:tcPr>
            <w:tcW w:w="2641" w:type="dxa"/>
            <w:vAlign w:val="center"/>
          </w:tcPr>
          <w:p w14:paraId="607ECE11">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资金来源及比例</w:t>
            </w:r>
          </w:p>
        </w:tc>
        <w:tc>
          <w:tcPr>
            <w:tcW w:w="5516" w:type="dxa"/>
            <w:vAlign w:val="center"/>
          </w:tcPr>
          <w:p w14:paraId="43E76F9F">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p>
        </w:tc>
      </w:tr>
      <w:tr w14:paraId="74721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215E3003">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1.2.2</w:t>
            </w:r>
          </w:p>
        </w:tc>
        <w:tc>
          <w:tcPr>
            <w:tcW w:w="2641" w:type="dxa"/>
            <w:vAlign w:val="center"/>
          </w:tcPr>
          <w:p w14:paraId="313C3101">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资金落实情况</w:t>
            </w:r>
          </w:p>
        </w:tc>
        <w:tc>
          <w:tcPr>
            <w:tcW w:w="5516" w:type="dxa"/>
            <w:vAlign w:val="center"/>
          </w:tcPr>
          <w:p w14:paraId="01D9F3FD">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p>
        </w:tc>
      </w:tr>
      <w:tr w14:paraId="16A19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3315D2EC">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1.3.1</w:t>
            </w:r>
          </w:p>
        </w:tc>
        <w:tc>
          <w:tcPr>
            <w:tcW w:w="2641" w:type="dxa"/>
            <w:vAlign w:val="center"/>
          </w:tcPr>
          <w:p w14:paraId="21FF069D">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招标范围</w:t>
            </w:r>
          </w:p>
        </w:tc>
        <w:tc>
          <w:tcPr>
            <w:tcW w:w="5516" w:type="dxa"/>
            <w:vAlign w:val="center"/>
          </w:tcPr>
          <w:p w14:paraId="468302BE">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p>
        </w:tc>
      </w:tr>
      <w:tr w14:paraId="439D3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22682D9D">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1.3.2</w:t>
            </w:r>
          </w:p>
        </w:tc>
        <w:tc>
          <w:tcPr>
            <w:tcW w:w="2641" w:type="dxa"/>
            <w:vAlign w:val="center"/>
          </w:tcPr>
          <w:p w14:paraId="721BFCFC">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交货期</w:t>
            </w:r>
          </w:p>
        </w:tc>
        <w:tc>
          <w:tcPr>
            <w:tcW w:w="5516" w:type="dxa"/>
            <w:vAlign w:val="center"/>
          </w:tcPr>
          <w:p w14:paraId="1E14D939">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highlight w:val="yellow"/>
                <w:lang w:val="en-US" w:eastAsia="zh-CN"/>
              </w:rPr>
            </w:pPr>
            <w:r>
              <w:rPr>
                <w:rFonts w:hint="eastAsia" w:ascii="宋体" w:hAnsi="宋体" w:eastAsia="宋体" w:cs="宋体"/>
                <w:color w:val="000000"/>
                <w:sz w:val="21"/>
                <w:szCs w:val="21"/>
              </w:rPr>
              <w:t>交货期：</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highlight w:val="none"/>
                <w:u w:val="none"/>
                <w:lang w:val="en-US" w:eastAsia="zh-CN"/>
              </w:rPr>
              <w:t>天</w:t>
            </w:r>
          </w:p>
          <w:p w14:paraId="0183CA98">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计划开始交货日期：</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年</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日</w:t>
            </w:r>
          </w:p>
        </w:tc>
      </w:tr>
      <w:tr w14:paraId="66503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7C1D55D1">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1.3.3</w:t>
            </w:r>
          </w:p>
        </w:tc>
        <w:tc>
          <w:tcPr>
            <w:tcW w:w="2641" w:type="dxa"/>
            <w:vAlign w:val="center"/>
          </w:tcPr>
          <w:p w14:paraId="5A54DB4B">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交货地点</w:t>
            </w:r>
          </w:p>
        </w:tc>
        <w:tc>
          <w:tcPr>
            <w:tcW w:w="5516" w:type="dxa"/>
            <w:vAlign w:val="center"/>
          </w:tcPr>
          <w:p w14:paraId="5BAC07E9">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p>
        </w:tc>
      </w:tr>
      <w:tr w14:paraId="67C59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2" w:hRule="atLeast"/>
        </w:trPr>
        <w:tc>
          <w:tcPr>
            <w:tcW w:w="1165" w:type="dxa"/>
            <w:vAlign w:val="center"/>
          </w:tcPr>
          <w:p w14:paraId="243E6D66">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1.3.4</w:t>
            </w:r>
          </w:p>
        </w:tc>
        <w:tc>
          <w:tcPr>
            <w:tcW w:w="2641" w:type="dxa"/>
            <w:vAlign w:val="center"/>
          </w:tcPr>
          <w:p w14:paraId="1E2CEF61">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质量标准</w:t>
            </w:r>
          </w:p>
        </w:tc>
        <w:tc>
          <w:tcPr>
            <w:tcW w:w="5516" w:type="dxa"/>
            <w:vAlign w:val="center"/>
          </w:tcPr>
          <w:p w14:paraId="71585F52">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p>
        </w:tc>
      </w:tr>
      <w:tr w14:paraId="75D4C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4" w:hRule="atLeast"/>
        </w:trPr>
        <w:tc>
          <w:tcPr>
            <w:tcW w:w="1165" w:type="dxa"/>
            <w:vAlign w:val="center"/>
          </w:tcPr>
          <w:p w14:paraId="6B172151">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1.4.1</w:t>
            </w:r>
          </w:p>
        </w:tc>
        <w:tc>
          <w:tcPr>
            <w:tcW w:w="2641" w:type="dxa"/>
            <w:vAlign w:val="center"/>
          </w:tcPr>
          <w:p w14:paraId="71EB1D2C">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投标人资质条件、能力、信誉</w:t>
            </w:r>
          </w:p>
        </w:tc>
        <w:tc>
          <w:tcPr>
            <w:tcW w:w="5516" w:type="dxa"/>
            <w:vAlign w:val="center"/>
          </w:tcPr>
          <w:p w14:paraId="7C877915">
            <w:pPr>
              <w:keepNext w:val="0"/>
              <w:keepLines w:val="0"/>
              <w:pageBreakBefore w:val="0"/>
              <w:widowControl w:val="0"/>
              <w:kinsoku/>
              <w:wordWrap/>
              <w:overflowPunct/>
              <w:topLinePunct w:val="0"/>
              <w:autoSpaceDE w:val="0"/>
              <w:autoSpaceDN w:val="0"/>
              <w:bidi w:val="0"/>
              <w:adjustRightInd w:val="0"/>
              <w:snapToGrid w:val="0"/>
              <w:spacing w:before="143" w:beforeLines="50" w:after="143" w:afterLines="50"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w:t>
            </w:r>
            <w:r>
              <w:rPr>
                <w:rFonts w:hint="eastAsia" w:ascii="宋体" w:hAnsi="宋体" w:eastAsia="宋体" w:cs="宋体"/>
                <w:sz w:val="21"/>
                <w:szCs w:val="21"/>
                <w:lang w:val="en-US" w:eastAsia="zh-CN"/>
              </w:rPr>
              <w:t>项目</w:t>
            </w:r>
            <w:r>
              <w:rPr>
                <w:rFonts w:hint="eastAsia" w:ascii="宋体" w:hAnsi="宋体" w:eastAsia="宋体" w:cs="宋体"/>
                <w:sz w:val="21"/>
                <w:szCs w:val="21"/>
              </w:rPr>
              <w:t>资质设置严格按照</w:t>
            </w:r>
            <w:r>
              <w:rPr>
                <w:rFonts w:hint="eastAsia" w:ascii="宋体" w:hAnsi="宋体" w:eastAsia="宋体" w:cs="宋体"/>
                <w:sz w:val="21"/>
                <w:szCs w:val="21"/>
                <w:lang w:val="en-US" w:eastAsia="zh-CN"/>
              </w:rPr>
              <w:t>国家、自治区、和市级现行有效文件执行</w:t>
            </w:r>
            <w:r>
              <w:rPr>
                <w:rFonts w:hint="eastAsia" w:ascii="宋体" w:hAnsi="宋体" w:eastAsia="宋体" w:cs="宋体"/>
                <w:sz w:val="21"/>
                <w:szCs w:val="21"/>
              </w:rPr>
              <w:t>。</w:t>
            </w:r>
          </w:p>
          <w:p w14:paraId="011CB80E">
            <w:pPr>
              <w:keepNext w:val="0"/>
              <w:keepLines w:val="0"/>
              <w:pageBreakBefore w:val="0"/>
              <w:widowControl w:val="0"/>
              <w:kinsoku/>
              <w:wordWrap/>
              <w:overflowPunct/>
              <w:topLinePunct w:val="0"/>
              <w:autoSpaceDE w:val="0"/>
              <w:autoSpaceDN w:val="0"/>
              <w:bidi w:val="0"/>
              <w:adjustRightInd w:val="0"/>
              <w:snapToGrid w:val="0"/>
              <w:spacing w:before="143" w:beforeLines="50" w:after="143" w:afterLines="50"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w:t>
            </w:r>
            <w:r>
              <w:rPr>
                <w:rFonts w:hint="eastAsia" w:ascii="宋体" w:hAnsi="宋体" w:eastAsia="宋体" w:cs="宋体"/>
                <w:sz w:val="21"/>
                <w:szCs w:val="21"/>
                <w:lang w:val="en-US" w:eastAsia="zh-CN"/>
              </w:rPr>
              <w:t>项目材料采购</w:t>
            </w:r>
            <w:r>
              <w:rPr>
                <w:rFonts w:hint="eastAsia" w:ascii="宋体" w:hAnsi="宋体" w:eastAsia="宋体" w:cs="宋体"/>
                <w:sz w:val="21"/>
                <w:szCs w:val="21"/>
              </w:rPr>
              <w:t>招标实行资格后审，投标人应具备以下资格条件：</w:t>
            </w:r>
          </w:p>
          <w:p w14:paraId="117FF8E5">
            <w:pPr>
              <w:keepNext w:val="0"/>
              <w:keepLines w:val="0"/>
              <w:pageBreakBefore w:val="0"/>
              <w:widowControl w:val="0"/>
              <w:kinsoku/>
              <w:wordWrap/>
              <w:overflowPunct/>
              <w:topLinePunct w:val="0"/>
              <w:autoSpaceDE w:val="0"/>
              <w:autoSpaceDN w:val="0"/>
              <w:bidi w:val="0"/>
              <w:adjustRightInd w:val="0"/>
              <w:snapToGrid w:val="0"/>
              <w:spacing w:before="143" w:beforeLines="50" w:after="143" w:afterLines="50" w:line="240" w:lineRule="auto"/>
              <w:textAlignment w:val="auto"/>
              <w:rPr>
                <w:rFonts w:hint="eastAsia" w:ascii="宋体" w:hAnsi="宋体" w:eastAsia="宋体" w:cs="宋体"/>
                <w:b/>
                <w:sz w:val="21"/>
                <w:szCs w:val="21"/>
              </w:rPr>
            </w:pPr>
            <w:r>
              <w:rPr>
                <w:rFonts w:hint="eastAsia" w:ascii="宋体" w:hAnsi="宋体" w:eastAsia="宋体" w:cs="宋体"/>
                <w:b/>
                <w:sz w:val="21"/>
                <w:szCs w:val="21"/>
              </w:rPr>
              <w:t>1.资质条件、营业执照</w:t>
            </w:r>
          </w:p>
          <w:p w14:paraId="33A93645">
            <w:pPr>
              <w:keepNext w:val="0"/>
              <w:keepLines w:val="0"/>
              <w:pageBreakBefore w:val="0"/>
              <w:widowControl w:val="0"/>
              <w:kinsoku/>
              <w:wordWrap/>
              <w:overflowPunct/>
              <w:topLinePunct w:val="0"/>
              <w:autoSpaceDE w:val="0"/>
              <w:autoSpaceDN w:val="0"/>
              <w:bidi w:val="0"/>
              <w:adjustRightInd w:val="0"/>
              <w:snapToGrid w:val="0"/>
              <w:spacing w:before="143" w:beforeLines="50" w:after="143" w:afterLines="50" w:line="240" w:lineRule="auto"/>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（1）具备</w:t>
            </w:r>
            <w:r>
              <w:rPr>
                <w:rFonts w:hint="eastAsia" w:ascii="宋体" w:hAnsi="宋体" w:eastAsia="宋体" w:cs="宋体"/>
                <w:sz w:val="21"/>
                <w:szCs w:val="21"/>
                <w:lang w:val="en-US" w:eastAsia="zh-CN"/>
              </w:rPr>
              <w:t>有关</w:t>
            </w:r>
            <w:r>
              <w:rPr>
                <w:rFonts w:hint="eastAsia" w:ascii="宋体" w:hAnsi="宋体" w:eastAsia="宋体" w:cs="宋体"/>
                <w:sz w:val="21"/>
                <w:szCs w:val="21"/>
                <w:highlight w:val="none"/>
                <w:lang w:val="en-US" w:eastAsia="zh-CN"/>
              </w:rPr>
              <w:t>行政</w:t>
            </w:r>
            <w:r>
              <w:rPr>
                <w:rFonts w:hint="eastAsia" w:ascii="宋体" w:hAnsi="宋体" w:eastAsia="宋体" w:cs="宋体"/>
                <w:sz w:val="21"/>
                <w:szCs w:val="21"/>
              </w:rPr>
              <w:t>主管部门颁发的有效的</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p>
          <w:p w14:paraId="70FC206B">
            <w:pPr>
              <w:keepNext w:val="0"/>
              <w:keepLines w:val="0"/>
              <w:pageBreakBefore w:val="0"/>
              <w:widowControl w:val="0"/>
              <w:kinsoku/>
              <w:wordWrap/>
              <w:overflowPunct/>
              <w:topLinePunct w:val="0"/>
              <w:autoSpaceDE w:val="0"/>
              <w:autoSpaceDN w:val="0"/>
              <w:bidi w:val="0"/>
              <w:adjustRightInd w:val="0"/>
              <w:snapToGrid w:val="0"/>
              <w:spacing w:before="143" w:beforeLines="50" w:after="143" w:afterLines="50" w:line="240" w:lineRule="auto"/>
              <w:textAlignment w:val="auto"/>
              <w:rPr>
                <w:rFonts w:hint="eastAsia" w:ascii="宋体" w:hAnsi="宋体" w:eastAsia="宋体" w:cs="宋体"/>
                <w:sz w:val="21"/>
                <w:szCs w:val="21"/>
              </w:rPr>
            </w:pP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555BDC8A">
            <w:pPr>
              <w:keepNext w:val="0"/>
              <w:keepLines w:val="0"/>
              <w:pageBreakBefore w:val="0"/>
              <w:widowControl w:val="0"/>
              <w:kinsoku/>
              <w:wordWrap/>
              <w:overflowPunct/>
              <w:topLinePunct w:val="0"/>
              <w:autoSpaceDE w:val="0"/>
              <w:autoSpaceDN w:val="0"/>
              <w:bidi w:val="0"/>
              <w:adjustRightInd w:val="0"/>
              <w:snapToGrid w:val="0"/>
              <w:spacing w:before="143" w:beforeLines="50" w:after="143" w:afterLines="50" w:line="240" w:lineRule="auto"/>
              <w:textAlignment w:val="auto"/>
              <w:rPr>
                <w:rFonts w:hint="eastAsia" w:ascii="宋体" w:hAnsi="宋体" w:eastAsia="宋体" w:cs="宋体"/>
                <w:sz w:val="21"/>
                <w:szCs w:val="21"/>
              </w:rPr>
            </w:pPr>
            <w:r>
              <w:rPr>
                <w:rFonts w:hint="eastAsia" w:ascii="宋体" w:hAnsi="宋体" w:eastAsia="宋体" w:cs="宋体"/>
                <w:sz w:val="21"/>
                <w:szCs w:val="21"/>
              </w:rPr>
              <w:t>（2）具备有效的营业执照。</w:t>
            </w:r>
          </w:p>
          <w:p w14:paraId="661B4D30">
            <w:pPr>
              <w:keepNext w:val="0"/>
              <w:keepLines w:val="0"/>
              <w:pageBreakBefore w:val="0"/>
              <w:widowControl w:val="0"/>
              <w:kinsoku/>
              <w:wordWrap/>
              <w:overflowPunct/>
              <w:topLinePunct w:val="0"/>
              <w:bidi w:val="0"/>
              <w:adjustRightInd w:val="0"/>
              <w:snapToGrid w:val="0"/>
              <w:spacing w:before="143" w:beforeLines="50" w:after="143" w:afterLines="50" w:line="240" w:lineRule="auto"/>
              <w:textAlignment w:val="auto"/>
              <w:rPr>
                <w:rFonts w:hint="eastAsia" w:ascii="宋体" w:hAnsi="宋体" w:eastAsia="宋体" w:cs="宋体"/>
                <w:b/>
                <w:sz w:val="21"/>
                <w:szCs w:val="21"/>
              </w:rPr>
            </w:pPr>
            <w:r>
              <w:rPr>
                <w:rFonts w:hint="eastAsia" w:ascii="宋体" w:hAnsi="宋体" w:eastAsia="宋体" w:cs="宋体"/>
                <w:b/>
                <w:sz w:val="21"/>
                <w:szCs w:val="21"/>
                <w:lang w:val="en-US" w:eastAsia="zh-CN"/>
              </w:rPr>
              <w:t>2</w:t>
            </w:r>
            <w:r>
              <w:rPr>
                <w:rFonts w:hint="eastAsia" w:ascii="宋体" w:hAnsi="宋体" w:eastAsia="宋体" w:cs="宋体"/>
                <w:b/>
                <w:sz w:val="21"/>
                <w:szCs w:val="21"/>
              </w:rPr>
              <w:t>.投标截止日投标</w:t>
            </w:r>
            <w:r>
              <w:rPr>
                <w:rFonts w:hint="eastAsia" w:ascii="宋体" w:hAnsi="宋体" w:eastAsia="宋体" w:cs="宋体"/>
                <w:b/>
                <w:sz w:val="21"/>
                <w:szCs w:val="21"/>
                <w:lang w:val="en-US" w:eastAsia="zh-CN"/>
              </w:rPr>
              <w:t>信誉</w:t>
            </w:r>
            <w:r>
              <w:rPr>
                <w:rFonts w:hint="eastAsia" w:ascii="宋体" w:hAnsi="宋体" w:eastAsia="宋体" w:cs="宋体"/>
                <w:b/>
                <w:sz w:val="21"/>
                <w:szCs w:val="21"/>
              </w:rPr>
              <w:t>资格情况</w:t>
            </w:r>
          </w:p>
          <w:p w14:paraId="36380AC3">
            <w:pPr>
              <w:keepNext w:val="0"/>
              <w:keepLines w:val="0"/>
              <w:pageBreakBefore w:val="0"/>
              <w:widowControl w:val="0"/>
              <w:kinsoku/>
              <w:wordWrap/>
              <w:overflowPunct/>
              <w:topLinePunct w:val="0"/>
              <w:bidi w:val="0"/>
              <w:snapToGrid w:val="0"/>
              <w:spacing w:before="143" w:beforeLines="50" w:after="143" w:afterLines="50" w:line="240" w:lineRule="auto"/>
              <w:textAlignment w:val="auto"/>
              <w:rPr>
                <w:rFonts w:hint="eastAsia" w:ascii="宋体" w:hAnsi="宋体" w:eastAsia="宋体" w:cs="宋体"/>
                <w:sz w:val="21"/>
                <w:szCs w:val="21"/>
              </w:rPr>
            </w:pPr>
            <w:r>
              <w:rPr>
                <w:rFonts w:hint="eastAsia" w:ascii="宋体" w:hAnsi="宋体" w:eastAsia="宋体" w:cs="宋体"/>
                <w:sz w:val="21"/>
                <w:szCs w:val="21"/>
              </w:rPr>
              <w:t>投标人不得存在下列情形之一：</w:t>
            </w:r>
          </w:p>
          <w:p w14:paraId="1DD39788">
            <w:pPr>
              <w:keepNext w:val="0"/>
              <w:keepLines w:val="0"/>
              <w:pageBreakBefore w:val="0"/>
              <w:widowControl w:val="0"/>
              <w:numPr>
                <w:ilvl w:val="0"/>
                <w:numId w:val="1"/>
              </w:numPr>
              <w:kinsoku/>
              <w:wordWrap/>
              <w:overflowPunct/>
              <w:topLinePunct w:val="0"/>
              <w:autoSpaceDE/>
              <w:autoSpaceDN/>
              <w:bidi w:val="0"/>
              <w:adjustRightInd/>
              <w:snapToGrid/>
              <w:spacing w:before="143" w:beforeLines="50" w:after="143" w:afterLines="50" w:line="24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在“信用中国”网站（www.creditchina.gov.cn）中列入失信被执行人名单、严重违法失信企业名单；</w:t>
            </w:r>
          </w:p>
          <w:p w14:paraId="6D33EF3B">
            <w:pPr>
              <w:keepNext w:val="0"/>
              <w:keepLines w:val="0"/>
              <w:pageBreakBefore w:val="0"/>
              <w:widowControl w:val="0"/>
              <w:numPr>
                <w:ilvl w:val="0"/>
                <w:numId w:val="1"/>
              </w:numPr>
              <w:kinsoku/>
              <w:wordWrap/>
              <w:overflowPunct/>
              <w:topLinePunct w:val="0"/>
              <w:autoSpaceDE/>
              <w:autoSpaceDN/>
              <w:bidi w:val="0"/>
              <w:adjustRightInd/>
              <w:snapToGrid/>
              <w:spacing w:before="143" w:beforeLines="50" w:after="143" w:afterLines="50" w:line="240" w:lineRule="auto"/>
              <w:textAlignment w:val="auto"/>
              <w:rPr>
                <w:rFonts w:hint="eastAsia" w:ascii="宋体" w:hAnsi="宋体" w:eastAsia="宋体" w:cs="宋体"/>
                <w:sz w:val="21"/>
                <w:szCs w:val="21"/>
                <w:highlight w:val="none"/>
              </w:rPr>
            </w:pPr>
            <w:r>
              <w:rPr>
                <w:rFonts w:hint="eastAsia" w:ascii="宋体" w:hAnsi="宋体" w:cs="宋体"/>
                <w:szCs w:val="21"/>
                <w:highlight w:val="none"/>
              </w:rPr>
              <w:t>投标企业所使用的关键岗位人员（包括但不限于项目经理、总监理工程师、安全负责人、技术负责人、施工负责人、质量负责人、专业监理工程师、专职安全生产管理人员等。）存在失信行为。（投标企业拟派关键岗位人员存在失信行为的，招标人将按施工、监理、勘察、设计等项目类别核查其信用信息。投标人须根据所投项目类别，确保所报人员无相关失信记录，并对其真实性负责。）</w:t>
            </w:r>
          </w:p>
          <w:p w14:paraId="7F6543EF">
            <w:pPr>
              <w:keepNext w:val="0"/>
              <w:keepLines w:val="0"/>
              <w:pageBreakBefore w:val="0"/>
              <w:widowControl w:val="0"/>
              <w:numPr>
                <w:ilvl w:val="0"/>
                <w:numId w:val="1"/>
              </w:numPr>
              <w:kinsoku/>
              <w:wordWrap/>
              <w:overflowPunct/>
              <w:topLinePunct w:val="0"/>
              <w:autoSpaceDE/>
              <w:autoSpaceDN/>
              <w:bidi w:val="0"/>
              <w:adjustRightInd/>
              <w:snapToGrid/>
              <w:spacing w:before="143" w:beforeLines="50" w:after="143" w:afterLines="50" w:line="240" w:lineRule="auto"/>
              <w:textAlignment w:val="auto"/>
              <w:rPr>
                <w:rFonts w:hint="eastAsia" w:ascii="宋体" w:hAnsi="宋体" w:eastAsia="宋体" w:cs="宋体"/>
                <w:sz w:val="21"/>
                <w:szCs w:val="21"/>
                <w:highlight w:val="none"/>
              </w:rPr>
            </w:pPr>
            <w:r>
              <w:rPr>
                <w:rFonts w:hint="eastAsia" w:ascii="宋体" w:hAnsi="宋体" w:cs="宋体"/>
                <w:szCs w:val="21"/>
                <w:highlight w:val="none"/>
              </w:rPr>
              <w:t>被列入拖欠农民工工资失信联合惩戒对象名单以及法律法规规章、政策文件要求实施联合惩戒予以限制投标的。</w:t>
            </w:r>
          </w:p>
          <w:p w14:paraId="03F61F5F">
            <w:pPr>
              <w:keepNext w:val="0"/>
              <w:keepLines w:val="0"/>
              <w:pageBreakBefore w:val="0"/>
              <w:widowControl w:val="0"/>
              <w:kinsoku/>
              <w:wordWrap/>
              <w:overflowPunct/>
              <w:topLinePunct w:val="0"/>
              <w:autoSpaceDE w:val="0"/>
              <w:autoSpaceDN w:val="0"/>
              <w:bidi w:val="0"/>
              <w:adjustRightInd w:val="0"/>
              <w:snapToGrid w:val="0"/>
              <w:spacing w:before="143" w:beforeLines="50" w:after="143" w:afterLines="50" w:line="240" w:lineRule="auto"/>
              <w:textAlignment w:val="auto"/>
              <w:rPr>
                <w:rFonts w:hint="eastAsia" w:ascii="宋体" w:hAnsi="宋体" w:eastAsia="宋体" w:cs="宋体"/>
                <w:b/>
                <w:sz w:val="21"/>
                <w:szCs w:val="21"/>
              </w:rPr>
            </w:pPr>
            <w:r>
              <w:rPr>
                <w:rFonts w:hint="eastAsia" w:ascii="宋体" w:hAnsi="宋体" w:eastAsia="宋体" w:cs="宋体"/>
                <w:b/>
                <w:sz w:val="21"/>
                <w:szCs w:val="21"/>
                <w:lang w:val="en-US" w:eastAsia="zh-CN"/>
              </w:rPr>
              <w:t>3</w:t>
            </w:r>
            <w:r>
              <w:rPr>
                <w:rFonts w:hint="eastAsia" w:ascii="宋体" w:hAnsi="宋体" w:eastAsia="宋体" w:cs="宋体"/>
                <w:b/>
                <w:sz w:val="21"/>
                <w:szCs w:val="21"/>
              </w:rPr>
              <w:t>.其他要求</w:t>
            </w:r>
          </w:p>
          <w:p w14:paraId="3466475E">
            <w:pPr>
              <w:keepNext w:val="0"/>
              <w:keepLines w:val="0"/>
              <w:pageBreakBefore w:val="0"/>
              <w:widowControl w:val="0"/>
              <w:kinsoku/>
              <w:wordWrap/>
              <w:overflowPunct/>
              <w:topLinePunct w:val="0"/>
              <w:autoSpaceDE w:val="0"/>
              <w:autoSpaceDN w:val="0"/>
              <w:bidi w:val="0"/>
              <w:adjustRightInd w:val="0"/>
              <w:snapToGrid w:val="0"/>
              <w:spacing w:before="143" w:beforeLines="50" w:after="143" w:afterLines="50" w:line="240" w:lineRule="auto"/>
              <w:textAlignment w:val="auto"/>
              <w:rPr>
                <w:rFonts w:hint="eastAsia" w:ascii="宋体" w:hAnsi="宋体" w:eastAsia="宋体" w:cs="宋体"/>
                <w:b/>
                <w:sz w:val="21"/>
                <w:szCs w:val="21"/>
                <w:u w:val="single"/>
                <w:lang w:val="en-US" w:eastAsia="zh-CN"/>
              </w:rPr>
            </w:pPr>
            <w:r>
              <w:rPr>
                <w:rFonts w:hint="eastAsia" w:ascii="宋体" w:hAnsi="宋体" w:eastAsia="宋体" w:cs="宋体"/>
                <w:b/>
                <w:sz w:val="21"/>
                <w:szCs w:val="21"/>
                <w:u w:val="single"/>
                <w:lang w:val="en-US" w:eastAsia="zh-CN"/>
              </w:rPr>
              <w:t xml:space="preserve">                                                </w:t>
            </w:r>
          </w:p>
          <w:p w14:paraId="191EE83D">
            <w:pPr>
              <w:keepNext w:val="0"/>
              <w:keepLines w:val="0"/>
              <w:pageBreakBefore w:val="0"/>
              <w:widowControl w:val="0"/>
              <w:kinsoku/>
              <w:wordWrap/>
              <w:overflowPunct/>
              <w:topLinePunct w:val="0"/>
              <w:autoSpaceDE w:val="0"/>
              <w:autoSpaceDN w:val="0"/>
              <w:bidi w:val="0"/>
              <w:adjustRightInd w:val="0"/>
              <w:snapToGrid w:val="0"/>
              <w:spacing w:before="143" w:beforeLines="50" w:after="143" w:afterLines="50" w:line="240" w:lineRule="auto"/>
              <w:textAlignment w:val="auto"/>
              <w:rPr>
                <w:rFonts w:hint="eastAsia" w:ascii="宋体" w:hAnsi="宋体" w:eastAsia="宋体" w:cs="宋体"/>
                <w:b/>
                <w:sz w:val="21"/>
                <w:szCs w:val="21"/>
                <w:u w:val="single"/>
                <w:lang w:val="en-US" w:eastAsia="zh-CN"/>
              </w:rPr>
            </w:pPr>
            <w:r>
              <w:rPr>
                <w:rFonts w:hint="eastAsia" w:ascii="宋体" w:hAnsi="宋体" w:eastAsia="宋体" w:cs="宋体"/>
                <w:b/>
                <w:sz w:val="21"/>
                <w:szCs w:val="21"/>
                <w:u w:val="single"/>
                <w:lang w:val="en-US" w:eastAsia="zh-CN"/>
              </w:rPr>
              <w:t xml:space="preserve">                                         </w:t>
            </w:r>
            <w:r>
              <w:rPr>
                <w:rFonts w:hint="eastAsia" w:ascii="宋体" w:hAnsi="宋体" w:eastAsia="宋体" w:cs="宋体"/>
                <w:b/>
                <w:sz w:val="21"/>
                <w:szCs w:val="21"/>
                <w:u w:val="none"/>
                <w:lang w:val="en-US" w:eastAsia="zh-CN"/>
              </w:rPr>
              <w:t>。</w:t>
            </w:r>
          </w:p>
          <w:p w14:paraId="5B3F836A">
            <w:pPr>
              <w:keepNext w:val="0"/>
              <w:keepLines w:val="0"/>
              <w:pageBreakBefore w:val="0"/>
              <w:widowControl w:val="0"/>
              <w:kinsoku/>
              <w:wordWrap/>
              <w:overflowPunct/>
              <w:topLinePunct w:val="0"/>
              <w:autoSpaceDE w:val="0"/>
              <w:autoSpaceDN w:val="0"/>
              <w:bidi w:val="0"/>
              <w:adjustRightInd w:val="0"/>
              <w:snapToGrid w:val="0"/>
              <w:spacing w:before="143" w:beforeLines="50" w:after="143" w:afterLines="50" w:line="240" w:lineRule="auto"/>
              <w:textAlignment w:val="auto"/>
              <w:rPr>
                <w:rFonts w:hint="eastAsia" w:ascii="宋体" w:hAnsi="宋体" w:eastAsia="宋体" w:cs="宋体"/>
                <w:b/>
                <w:sz w:val="21"/>
                <w:szCs w:val="21"/>
              </w:rPr>
            </w:pPr>
            <w:r>
              <w:rPr>
                <w:rFonts w:hint="eastAsia" w:ascii="宋体" w:hAnsi="宋体" w:eastAsia="宋体" w:cs="宋体"/>
                <w:b/>
                <w:sz w:val="21"/>
                <w:szCs w:val="21"/>
              </w:rPr>
              <w:t>特别说明：</w:t>
            </w:r>
          </w:p>
          <w:p w14:paraId="56B828C7">
            <w:pPr>
              <w:keepNext w:val="0"/>
              <w:keepLines w:val="0"/>
              <w:pageBreakBefore w:val="0"/>
              <w:widowControl w:val="0"/>
              <w:kinsoku/>
              <w:wordWrap/>
              <w:overflowPunct/>
              <w:topLinePunct w:val="0"/>
              <w:bidi w:val="0"/>
              <w:spacing w:before="143" w:beforeLines="50" w:after="143" w:afterLines="50" w:line="240" w:lineRule="auto"/>
              <w:textAlignment w:val="auto"/>
              <w:rPr>
                <w:rFonts w:hint="eastAsia" w:ascii="宋体" w:hAnsi="宋体" w:eastAsia="宋体" w:cs="宋体"/>
                <w:b/>
                <w:bCs/>
                <w:kern w:val="0"/>
                <w:sz w:val="21"/>
                <w:szCs w:val="21"/>
                <w:highlight w:val="white"/>
              </w:rPr>
            </w:pPr>
            <w:r>
              <w:rPr>
                <w:rFonts w:hint="eastAsia" w:ascii="宋体" w:hAnsi="宋体" w:eastAsia="宋体" w:cs="宋体"/>
                <w:b/>
                <w:bCs/>
                <w:kern w:val="0"/>
                <w:sz w:val="21"/>
                <w:szCs w:val="21"/>
                <w:highlight w:val="white"/>
                <w:lang w:eastAsia="zh-CN"/>
              </w:rPr>
              <w:t>（</w:t>
            </w:r>
            <w:r>
              <w:rPr>
                <w:rFonts w:hint="eastAsia" w:ascii="宋体" w:hAnsi="宋体" w:eastAsia="宋体" w:cs="宋体"/>
                <w:b/>
                <w:bCs/>
                <w:kern w:val="0"/>
                <w:sz w:val="21"/>
                <w:szCs w:val="21"/>
                <w:highlight w:val="white"/>
                <w:lang w:val="en-US" w:eastAsia="zh-CN"/>
              </w:rPr>
              <w:t>1</w:t>
            </w:r>
            <w:r>
              <w:rPr>
                <w:rFonts w:hint="eastAsia" w:ascii="宋体" w:hAnsi="宋体" w:eastAsia="宋体" w:cs="宋体"/>
                <w:b/>
                <w:bCs/>
                <w:kern w:val="0"/>
                <w:sz w:val="21"/>
                <w:szCs w:val="21"/>
                <w:highlight w:val="white"/>
                <w:lang w:eastAsia="zh-CN"/>
              </w:rPr>
              <w:t>）</w:t>
            </w:r>
            <w:r>
              <w:rPr>
                <w:rFonts w:hint="eastAsia" w:ascii="宋体" w:hAnsi="宋体" w:eastAsia="宋体" w:cs="宋体"/>
                <w:b/>
                <w:bCs/>
                <w:kern w:val="0"/>
                <w:sz w:val="21"/>
                <w:szCs w:val="21"/>
                <w:highlight w:val="white"/>
              </w:rPr>
              <w:t>评标委员会要求查阅上述资料时，上述资料不全或不符合要求，评标委员会有权认定投标人不符合要求，导致被</w:t>
            </w:r>
            <w:r>
              <w:rPr>
                <w:rFonts w:hint="eastAsia" w:ascii="宋体" w:hAnsi="宋体" w:eastAsia="宋体" w:cs="宋体"/>
                <w:b/>
                <w:bCs/>
                <w:kern w:val="0"/>
                <w:sz w:val="21"/>
                <w:szCs w:val="21"/>
                <w:highlight w:val="white"/>
                <w:lang w:eastAsia="zh-CN"/>
              </w:rPr>
              <w:t>否决投标</w:t>
            </w:r>
            <w:r>
              <w:rPr>
                <w:rFonts w:hint="eastAsia" w:ascii="宋体" w:hAnsi="宋体" w:eastAsia="宋体" w:cs="宋体"/>
                <w:b/>
                <w:bCs/>
                <w:kern w:val="0"/>
                <w:sz w:val="21"/>
                <w:szCs w:val="21"/>
                <w:highlight w:val="white"/>
              </w:rPr>
              <w:t>的风险由投标人自行承担。</w:t>
            </w:r>
          </w:p>
          <w:p w14:paraId="22100F06">
            <w:pPr>
              <w:keepNext w:val="0"/>
              <w:keepLines w:val="0"/>
              <w:pageBreakBefore w:val="0"/>
              <w:widowControl w:val="0"/>
              <w:kinsoku/>
              <w:wordWrap/>
              <w:overflowPunct/>
              <w:topLinePunct w:val="0"/>
              <w:bidi w:val="0"/>
              <w:spacing w:before="143" w:beforeLines="50" w:after="143" w:afterLines="50" w:line="240" w:lineRule="auto"/>
              <w:textAlignment w:val="auto"/>
              <w:rPr>
                <w:rFonts w:hint="eastAsia" w:ascii="宋体" w:hAnsi="宋体" w:eastAsia="宋体" w:cs="宋体"/>
                <w:b/>
                <w:bCs/>
                <w:kern w:val="0"/>
                <w:sz w:val="21"/>
                <w:szCs w:val="21"/>
                <w:highlight w:val="none"/>
                <w:lang w:val="en-US" w:eastAsia="zh-CN"/>
              </w:rPr>
            </w:pPr>
            <w:r>
              <w:rPr>
                <w:rFonts w:hint="eastAsia" w:ascii="宋体" w:hAnsi="宋体" w:eastAsia="宋体" w:cs="宋体"/>
                <w:b/>
                <w:bCs/>
                <w:kern w:val="0"/>
                <w:sz w:val="21"/>
                <w:szCs w:val="21"/>
                <w:highlight w:val="none"/>
                <w:lang w:val="en-US" w:eastAsia="zh-CN"/>
              </w:rPr>
              <w:t>（2）投标人资质条件、能力和信誉设置判定标准必须唯一，资格性评审条件不得在打分时作为加分项。</w:t>
            </w:r>
          </w:p>
          <w:p w14:paraId="0659FE5D">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b/>
                <w:bCs/>
                <w:kern w:val="0"/>
                <w:sz w:val="21"/>
                <w:szCs w:val="21"/>
                <w:highlight w:val="none"/>
                <w:lang w:val="en-US" w:eastAsia="zh-CN"/>
              </w:rPr>
              <w:t>（3）</w:t>
            </w:r>
            <w:r>
              <w:rPr>
                <w:rFonts w:hint="eastAsia" w:ascii="宋体" w:hAnsi="宋体" w:eastAsia="宋体" w:cs="宋体"/>
                <w:b/>
                <w:bCs/>
                <w:spacing w:val="2"/>
                <w:sz w:val="21"/>
                <w:szCs w:val="21"/>
              </w:rPr>
              <w:t>资格审查时以电子投标文件中链接的已入库资料为准，</w:t>
            </w:r>
            <w:r>
              <w:rPr>
                <w:rFonts w:hint="eastAsia" w:ascii="宋体" w:hAnsi="宋体" w:eastAsia="宋体" w:cs="宋体"/>
                <w:b/>
                <w:bCs/>
                <w:spacing w:val="2"/>
                <w:sz w:val="21"/>
                <w:szCs w:val="21"/>
                <w:lang w:val="en-US" w:eastAsia="zh-CN"/>
              </w:rPr>
              <w:t>无需</w:t>
            </w:r>
            <w:r>
              <w:rPr>
                <w:rFonts w:hint="eastAsia" w:ascii="宋体" w:hAnsi="宋体" w:eastAsia="宋体" w:cs="宋体"/>
                <w:b/>
                <w:bCs/>
                <w:spacing w:val="2"/>
                <w:sz w:val="21"/>
                <w:szCs w:val="21"/>
              </w:rPr>
              <w:t>提供原件，投标人</w:t>
            </w:r>
            <w:r>
              <w:rPr>
                <w:rFonts w:hint="eastAsia" w:ascii="宋体" w:hAnsi="宋体" w:eastAsia="宋体" w:cs="宋体"/>
                <w:b/>
                <w:bCs/>
                <w:spacing w:val="2"/>
                <w:sz w:val="21"/>
                <w:szCs w:val="21"/>
                <w:lang w:val="en-US" w:eastAsia="zh-CN"/>
              </w:rPr>
              <w:t>在</w:t>
            </w:r>
            <w:r>
              <w:rPr>
                <w:rFonts w:hint="eastAsia" w:ascii="宋体" w:hAnsi="宋体" w:eastAsia="宋体" w:cs="宋体"/>
                <w:b/>
                <w:bCs/>
                <w:spacing w:val="2"/>
                <w:sz w:val="21"/>
                <w:szCs w:val="21"/>
              </w:rPr>
              <w:t>制作电子投标文件前必须确认下列原件已完整</w:t>
            </w:r>
            <w:r>
              <w:rPr>
                <w:rFonts w:hint="eastAsia" w:ascii="宋体" w:hAnsi="宋体" w:eastAsia="宋体" w:cs="宋体"/>
                <w:b/>
                <w:bCs/>
                <w:spacing w:val="2"/>
                <w:sz w:val="21"/>
                <w:szCs w:val="21"/>
                <w:lang w:eastAsia="zh-CN"/>
              </w:rPr>
              <w:t>、</w:t>
            </w:r>
            <w:r>
              <w:rPr>
                <w:rFonts w:hint="eastAsia" w:ascii="宋体" w:hAnsi="宋体" w:eastAsia="宋体" w:cs="宋体"/>
                <w:b/>
                <w:bCs/>
                <w:spacing w:val="2"/>
                <w:sz w:val="21"/>
                <w:szCs w:val="21"/>
              </w:rPr>
              <w:t>正确录入诚信库内</w:t>
            </w:r>
            <w:r>
              <w:rPr>
                <w:rFonts w:hint="eastAsia" w:ascii="宋体" w:hAnsi="宋体" w:eastAsia="宋体" w:cs="宋体"/>
                <w:b/>
                <w:bCs/>
                <w:spacing w:val="2"/>
                <w:sz w:val="21"/>
                <w:szCs w:val="21"/>
                <w:lang w:eastAsia="zh-CN"/>
              </w:rPr>
              <w:t>。</w:t>
            </w:r>
          </w:p>
        </w:tc>
      </w:tr>
      <w:tr w14:paraId="6DF5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4AD983C2">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w:t>
            </w:r>
            <w:r>
              <w:rPr>
                <w:rFonts w:hint="eastAsia" w:ascii="宋体" w:hAnsi="宋体" w:eastAsia="宋体" w:cs="宋体"/>
                <w:sz w:val="21"/>
                <w:szCs w:val="21"/>
              </w:rPr>
              <w:t>4.2</w:t>
            </w:r>
          </w:p>
        </w:tc>
        <w:tc>
          <w:tcPr>
            <w:tcW w:w="2641" w:type="dxa"/>
            <w:vAlign w:val="center"/>
          </w:tcPr>
          <w:p w14:paraId="36167DCC">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sz w:val="21"/>
                <w:szCs w:val="21"/>
              </w:rPr>
              <w:t>是否接受联合体投标</w:t>
            </w:r>
          </w:p>
        </w:tc>
        <w:tc>
          <w:tcPr>
            <w:tcW w:w="5516" w:type="dxa"/>
            <w:vAlign w:val="center"/>
          </w:tcPr>
          <w:p w14:paraId="41A3065A">
            <w:pPr>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□不</w:t>
            </w:r>
            <w:r>
              <w:rPr>
                <w:rFonts w:hint="eastAsia" w:ascii="宋体" w:hAnsi="宋体" w:eastAsia="宋体" w:cs="宋体"/>
                <w:sz w:val="21"/>
                <w:szCs w:val="21"/>
              </w:rPr>
              <w:t>接受</w:t>
            </w:r>
          </w:p>
          <w:p w14:paraId="425E28FE">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sz w:val="21"/>
                <w:szCs w:val="21"/>
              </w:rPr>
              <w:t>□接受，应满足下列要求：</w:t>
            </w:r>
          </w:p>
        </w:tc>
      </w:tr>
      <w:tr w14:paraId="580C5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637D44FA">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1.4.3</w:t>
            </w:r>
          </w:p>
        </w:tc>
        <w:tc>
          <w:tcPr>
            <w:tcW w:w="2641" w:type="dxa"/>
            <w:vAlign w:val="center"/>
          </w:tcPr>
          <w:p w14:paraId="18B15E5B">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sz w:val="21"/>
                <w:szCs w:val="21"/>
              </w:rPr>
            </w:pPr>
            <w:r>
              <w:rPr>
                <w:rFonts w:hint="eastAsia" w:ascii="宋体" w:hAnsi="宋体" w:eastAsia="宋体" w:cs="宋体"/>
                <w:color w:val="000000"/>
                <w:sz w:val="21"/>
                <w:szCs w:val="21"/>
              </w:rPr>
              <w:t>投标人不得存在的其他情形</w:t>
            </w:r>
          </w:p>
        </w:tc>
        <w:tc>
          <w:tcPr>
            <w:tcW w:w="5516" w:type="dxa"/>
            <w:vAlign w:val="center"/>
          </w:tcPr>
          <w:p w14:paraId="559252E8">
            <w:pPr>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color w:val="000000"/>
                <w:sz w:val="21"/>
                <w:szCs w:val="21"/>
              </w:rPr>
            </w:pPr>
          </w:p>
        </w:tc>
      </w:tr>
      <w:tr w14:paraId="16C3A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61DBDB68">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w:t>
            </w:r>
            <w:r>
              <w:rPr>
                <w:rFonts w:hint="eastAsia" w:ascii="宋体" w:hAnsi="宋体" w:eastAsia="宋体" w:cs="宋体"/>
                <w:color w:val="000000"/>
                <w:sz w:val="21"/>
                <w:szCs w:val="21"/>
                <w:lang w:val="en-US" w:eastAsia="zh-CN"/>
              </w:rPr>
              <w:t>9</w:t>
            </w:r>
            <w:r>
              <w:rPr>
                <w:rFonts w:hint="eastAsia" w:ascii="宋体" w:hAnsi="宋体" w:eastAsia="宋体" w:cs="宋体"/>
                <w:color w:val="000000"/>
                <w:sz w:val="21"/>
                <w:szCs w:val="21"/>
              </w:rPr>
              <w:t>.1</w:t>
            </w:r>
          </w:p>
        </w:tc>
        <w:tc>
          <w:tcPr>
            <w:tcW w:w="2641" w:type="dxa"/>
            <w:vAlign w:val="center"/>
          </w:tcPr>
          <w:p w14:paraId="7FA5357B">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分包</w:t>
            </w:r>
          </w:p>
        </w:tc>
        <w:tc>
          <w:tcPr>
            <w:tcW w:w="5516" w:type="dxa"/>
            <w:vAlign w:val="center"/>
          </w:tcPr>
          <w:p w14:paraId="2A17B284">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sz w:val="21"/>
                <w:szCs w:val="21"/>
              </w:rPr>
            </w:pPr>
            <w:r>
              <w:rPr>
                <w:rFonts w:hint="eastAsia" w:ascii="宋体" w:hAnsi="宋体" w:eastAsia="宋体" w:cs="宋体"/>
                <w:sz w:val="21"/>
                <w:szCs w:val="21"/>
              </w:rPr>
              <w:t>□不允许</w:t>
            </w:r>
          </w:p>
          <w:p w14:paraId="0C3A2796">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sz w:val="21"/>
                <w:szCs w:val="21"/>
              </w:rPr>
            </w:pPr>
            <w:r>
              <w:rPr>
                <w:rFonts w:hint="eastAsia" w:ascii="宋体" w:hAnsi="宋体" w:eastAsia="宋体" w:cs="宋体"/>
                <w:sz w:val="21"/>
                <w:szCs w:val="21"/>
              </w:rPr>
              <w:t>□允许，分包内容要求：</w:t>
            </w:r>
          </w:p>
          <w:p w14:paraId="08A7071F">
            <w:pPr>
              <w:keepNext w:val="0"/>
              <w:keepLines w:val="0"/>
              <w:pageBreakBefore w:val="0"/>
              <w:kinsoku/>
              <w:wordWrap/>
              <w:overflowPunct/>
              <w:bidi w:val="0"/>
              <w:spacing w:before="143" w:beforeLines="50" w:after="143" w:afterLines="50" w:line="240" w:lineRule="auto"/>
              <w:ind w:firstLine="840" w:firstLineChars="400"/>
              <w:textAlignment w:val="auto"/>
              <w:rPr>
                <w:rFonts w:hint="eastAsia" w:ascii="宋体" w:hAnsi="宋体" w:eastAsia="宋体" w:cs="宋体"/>
                <w:sz w:val="21"/>
                <w:szCs w:val="21"/>
              </w:rPr>
            </w:pPr>
            <w:r>
              <w:rPr>
                <w:rFonts w:hint="eastAsia" w:ascii="宋体" w:hAnsi="宋体" w:eastAsia="宋体" w:cs="宋体"/>
                <w:sz w:val="21"/>
                <w:szCs w:val="21"/>
              </w:rPr>
              <w:t>分包金额要求：</w:t>
            </w:r>
          </w:p>
          <w:p w14:paraId="75DE68B6">
            <w:pPr>
              <w:keepNext w:val="0"/>
              <w:keepLines w:val="0"/>
              <w:pageBreakBefore w:val="0"/>
              <w:kinsoku/>
              <w:wordWrap/>
              <w:overflowPunct/>
              <w:bidi w:val="0"/>
              <w:spacing w:before="143" w:beforeLines="50" w:after="143" w:afterLines="50" w:line="240" w:lineRule="auto"/>
              <w:ind w:firstLine="840" w:firstLineChars="400"/>
              <w:textAlignment w:val="auto"/>
              <w:rPr>
                <w:rFonts w:hint="eastAsia" w:ascii="宋体" w:hAnsi="宋体" w:eastAsia="宋体" w:cs="宋体"/>
                <w:sz w:val="21"/>
                <w:szCs w:val="21"/>
              </w:rPr>
            </w:pPr>
            <w:r>
              <w:rPr>
                <w:rFonts w:hint="eastAsia" w:ascii="宋体" w:hAnsi="宋体" w:eastAsia="宋体" w:cs="宋体"/>
                <w:sz w:val="21"/>
                <w:szCs w:val="21"/>
              </w:rPr>
              <w:t>对分包人的资质要求：</w:t>
            </w:r>
          </w:p>
        </w:tc>
      </w:tr>
      <w:tr w14:paraId="1B2CE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34F3D4CA">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w:t>
            </w:r>
            <w:r>
              <w:rPr>
                <w:rFonts w:hint="eastAsia" w:ascii="宋体" w:hAnsi="宋体" w:eastAsia="宋体" w:cs="宋体"/>
                <w:sz w:val="21"/>
                <w:szCs w:val="21"/>
              </w:rPr>
              <w:t>1</w:t>
            </w:r>
            <w:r>
              <w:rPr>
                <w:rFonts w:hint="eastAsia" w:ascii="宋体" w:hAnsi="宋体" w:eastAsia="宋体" w:cs="宋体"/>
                <w:sz w:val="21"/>
                <w:szCs w:val="21"/>
                <w:lang w:val="en-US" w:eastAsia="zh-CN"/>
              </w:rPr>
              <w:t>0</w:t>
            </w:r>
            <w:r>
              <w:rPr>
                <w:rFonts w:hint="eastAsia" w:ascii="宋体" w:hAnsi="宋体" w:eastAsia="宋体" w:cs="宋体"/>
                <w:sz w:val="21"/>
                <w:szCs w:val="21"/>
              </w:rPr>
              <w:t>.1</w:t>
            </w:r>
          </w:p>
        </w:tc>
        <w:tc>
          <w:tcPr>
            <w:tcW w:w="2641" w:type="dxa"/>
            <w:vAlign w:val="center"/>
          </w:tcPr>
          <w:p w14:paraId="29A273DB">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sz w:val="21"/>
                <w:szCs w:val="21"/>
              </w:rPr>
              <w:t>实质性要求和条件</w:t>
            </w:r>
          </w:p>
        </w:tc>
        <w:tc>
          <w:tcPr>
            <w:tcW w:w="5516" w:type="dxa"/>
            <w:vAlign w:val="center"/>
          </w:tcPr>
          <w:p w14:paraId="47FF78AA">
            <w:pPr>
              <w:pStyle w:val="9"/>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color w:val="000000"/>
                <w:sz w:val="21"/>
                <w:szCs w:val="21"/>
              </w:rPr>
            </w:pPr>
          </w:p>
        </w:tc>
      </w:tr>
      <w:tr w14:paraId="36A00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52434626">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1.1</w:t>
            </w:r>
            <w:r>
              <w:rPr>
                <w:rFonts w:hint="eastAsia" w:ascii="宋体" w:hAnsi="宋体" w:eastAsia="宋体" w:cs="宋体"/>
                <w:color w:val="000000"/>
                <w:sz w:val="21"/>
                <w:szCs w:val="21"/>
                <w:lang w:val="en-US" w:eastAsia="zh-CN"/>
              </w:rPr>
              <w:t>0</w:t>
            </w:r>
            <w:r>
              <w:rPr>
                <w:rFonts w:hint="eastAsia" w:ascii="宋体" w:hAnsi="宋体" w:eastAsia="宋体" w:cs="宋体"/>
                <w:color w:val="000000"/>
                <w:sz w:val="21"/>
                <w:szCs w:val="21"/>
              </w:rPr>
              <w:t>.3</w:t>
            </w:r>
          </w:p>
        </w:tc>
        <w:tc>
          <w:tcPr>
            <w:tcW w:w="2641" w:type="dxa"/>
            <w:vAlign w:val="center"/>
          </w:tcPr>
          <w:p w14:paraId="7472AE40">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sz w:val="21"/>
                <w:szCs w:val="21"/>
              </w:rPr>
            </w:pPr>
            <w:r>
              <w:rPr>
                <w:rFonts w:hint="eastAsia" w:ascii="宋体" w:hAnsi="宋体" w:eastAsia="宋体" w:cs="宋体"/>
                <w:color w:val="000000"/>
                <w:sz w:val="21"/>
                <w:szCs w:val="21"/>
              </w:rPr>
              <w:t>其他可以被接受的技术支持资料</w:t>
            </w:r>
          </w:p>
        </w:tc>
        <w:tc>
          <w:tcPr>
            <w:tcW w:w="5516" w:type="dxa"/>
          </w:tcPr>
          <w:p w14:paraId="2B689260">
            <w:pPr>
              <w:pStyle w:val="9"/>
              <w:keepNext w:val="0"/>
              <w:keepLines w:val="0"/>
              <w:pageBreakBefore w:val="0"/>
              <w:kinsoku/>
              <w:wordWrap/>
              <w:overflowPunct/>
              <w:topLinePunct/>
              <w:bidi w:val="0"/>
              <w:spacing w:before="143" w:beforeLines="50" w:after="143" w:afterLines="50" w:line="240" w:lineRule="auto"/>
              <w:ind w:firstLine="945" w:firstLineChars="450"/>
              <w:textAlignment w:val="auto"/>
              <w:rPr>
                <w:rFonts w:hint="eastAsia" w:ascii="宋体" w:hAnsi="宋体" w:eastAsia="宋体" w:cs="宋体"/>
                <w:sz w:val="21"/>
                <w:szCs w:val="21"/>
              </w:rPr>
            </w:pPr>
          </w:p>
        </w:tc>
      </w:tr>
      <w:tr w14:paraId="3224B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3C3EE3A9">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1.1</w:t>
            </w:r>
            <w:r>
              <w:rPr>
                <w:rFonts w:hint="eastAsia" w:ascii="宋体" w:hAnsi="宋体" w:eastAsia="宋体" w:cs="宋体"/>
                <w:sz w:val="21"/>
                <w:szCs w:val="21"/>
                <w:lang w:val="en-US" w:eastAsia="zh-CN"/>
              </w:rPr>
              <w:t>0</w:t>
            </w:r>
            <w:r>
              <w:rPr>
                <w:rFonts w:hint="eastAsia" w:ascii="宋体" w:hAnsi="宋体" w:eastAsia="宋体" w:cs="宋体"/>
                <w:sz w:val="21"/>
                <w:szCs w:val="21"/>
              </w:rPr>
              <w:t>.4</w:t>
            </w:r>
          </w:p>
        </w:tc>
        <w:tc>
          <w:tcPr>
            <w:tcW w:w="2641" w:type="dxa"/>
            <w:vAlign w:val="center"/>
          </w:tcPr>
          <w:p w14:paraId="6D881995">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偏差</w:t>
            </w:r>
          </w:p>
        </w:tc>
        <w:tc>
          <w:tcPr>
            <w:tcW w:w="5516" w:type="dxa"/>
          </w:tcPr>
          <w:p w14:paraId="0AE9319E">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sz w:val="21"/>
                <w:szCs w:val="21"/>
              </w:rPr>
            </w:pPr>
            <w:r>
              <w:rPr>
                <w:rFonts w:hint="eastAsia" w:ascii="宋体" w:hAnsi="宋体" w:eastAsia="宋体" w:cs="宋体"/>
                <w:sz w:val="21"/>
                <w:szCs w:val="21"/>
              </w:rPr>
              <w:t>□不允许</w:t>
            </w:r>
          </w:p>
          <w:p w14:paraId="5D77F499">
            <w:pPr>
              <w:pStyle w:val="9"/>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sz w:val="21"/>
                <w:szCs w:val="21"/>
              </w:rPr>
            </w:pPr>
            <w:r>
              <w:rPr>
                <w:rFonts w:hint="eastAsia" w:ascii="宋体" w:hAnsi="宋体" w:eastAsia="宋体" w:cs="宋体"/>
                <w:sz w:val="21"/>
                <w:szCs w:val="21"/>
              </w:rPr>
              <w:t>□允许，偏差范围：</w:t>
            </w:r>
          </w:p>
          <w:p w14:paraId="353CCCD0">
            <w:pPr>
              <w:pStyle w:val="9"/>
              <w:keepNext w:val="0"/>
              <w:keepLines w:val="0"/>
              <w:pageBreakBefore w:val="0"/>
              <w:kinsoku/>
              <w:wordWrap/>
              <w:overflowPunct/>
              <w:topLinePunct/>
              <w:bidi w:val="0"/>
              <w:spacing w:before="143" w:beforeLines="50" w:after="143" w:afterLines="50" w:line="240" w:lineRule="auto"/>
              <w:ind w:firstLine="945" w:firstLineChars="450"/>
              <w:textAlignment w:val="auto"/>
              <w:rPr>
                <w:rFonts w:hint="eastAsia" w:ascii="宋体" w:hAnsi="宋体" w:eastAsia="宋体" w:cs="宋体"/>
                <w:sz w:val="21"/>
                <w:szCs w:val="21"/>
              </w:rPr>
            </w:pPr>
            <w:r>
              <w:rPr>
                <w:rFonts w:hint="eastAsia" w:ascii="宋体" w:hAnsi="宋体" w:eastAsia="宋体" w:cs="宋体"/>
                <w:sz w:val="21"/>
                <w:szCs w:val="21"/>
              </w:rPr>
              <w:t>最高项数：</w:t>
            </w:r>
          </w:p>
        </w:tc>
      </w:tr>
      <w:tr w14:paraId="19B46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0644415D">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2.1</w:t>
            </w:r>
          </w:p>
        </w:tc>
        <w:tc>
          <w:tcPr>
            <w:tcW w:w="2641" w:type="dxa"/>
            <w:vAlign w:val="center"/>
          </w:tcPr>
          <w:p w14:paraId="124F9B27">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构成招标文件的其他资料</w:t>
            </w:r>
          </w:p>
        </w:tc>
        <w:tc>
          <w:tcPr>
            <w:tcW w:w="5516" w:type="dxa"/>
            <w:vAlign w:val="center"/>
          </w:tcPr>
          <w:p w14:paraId="1FDD0D13">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p>
        </w:tc>
      </w:tr>
      <w:tr w14:paraId="1FC35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Merge w:val="restart"/>
            <w:vAlign w:val="center"/>
          </w:tcPr>
          <w:p w14:paraId="243D8FF5">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2.2.1</w:t>
            </w:r>
          </w:p>
        </w:tc>
        <w:tc>
          <w:tcPr>
            <w:tcW w:w="2641" w:type="dxa"/>
            <w:vMerge w:val="restart"/>
            <w:vAlign w:val="center"/>
          </w:tcPr>
          <w:p w14:paraId="3E6E485F">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投标人要求澄清招标文件</w:t>
            </w:r>
          </w:p>
        </w:tc>
        <w:tc>
          <w:tcPr>
            <w:tcW w:w="5516" w:type="dxa"/>
            <w:vAlign w:val="center"/>
          </w:tcPr>
          <w:p w14:paraId="1B8C6FCB">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highlight w:val="none"/>
              </w:rPr>
              <w:t>时间：投标截止时间十日前</w:t>
            </w:r>
            <w:r>
              <w:rPr>
                <w:rFonts w:hint="eastAsia" w:ascii="宋体" w:hAnsi="宋体" w:eastAsia="宋体" w:cs="宋体"/>
                <w:color w:val="000000"/>
                <w:sz w:val="21"/>
                <w:szCs w:val="21"/>
                <w:highlight w:val="none"/>
                <w:lang w:eastAsia="zh-CN"/>
              </w:rPr>
              <w:t>。</w:t>
            </w:r>
          </w:p>
        </w:tc>
      </w:tr>
      <w:tr w14:paraId="0706F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Merge w:val="continue"/>
            <w:vAlign w:val="center"/>
          </w:tcPr>
          <w:p w14:paraId="018A16C8">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p>
        </w:tc>
        <w:tc>
          <w:tcPr>
            <w:tcW w:w="2641" w:type="dxa"/>
            <w:vMerge w:val="continue"/>
            <w:vAlign w:val="center"/>
          </w:tcPr>
          <w:p w14:paraId="3D454D57">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p>
        </w:tc>
        <w:tc>
          <w:tcPr>
            <w:tcW w:w="5516" w:type="dxa"/>
            <w:vAlign w:val="center"/>
          </w:tcPr>
          <w:p w14:paraId="4C65CB6E">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highlight w:val="none"/>
              </w:rPr>
              <w:t>形式：</w:t>
            </w:r>
            <w:r>
              <w:rPr>
                <w:rFonts w:hint="eastAsia" w:ascii="宋体" w:hAnsi="宋体" w:eastAsia="宋体" w:cs="宋体"/>
                <w:color w:val="000000"/>
                <w:sz w:val="21"/>
                <w:szCs w:val="21"/>
                <w:u w:val="none"/>
              </w:rPr>
              <w:t>在</w:t>
            </w:r>
            <w:r>
              <w:rPr>
                <w:rFonts w:hint="eastAsia" w:ascii="宋体" w:hAnsi="宋体" w:eastAsia="宋体" w:cs="宋体"/>
                <w:color w:val="000000"/>
                <w:sz w:val="21"/>
                <w:szCs w:val="21"/>
                <w:u w:val="single"/>
                <w:lang w:val="en-US" w:eastAsia="zh-CN"/>
              </w:rPr>
              <w:t>交易系统</w:t>
            </w:r>
            <w:r>
              <w:rPr>
                <w:rFonts w:hint="eastAsia" w:ascii="宋体" w:hAnsi="宋体" w:eastAsia="宋体" w:cs="宋体"/>
                <w:color w:val="000000"/>
                <w:sz w:val="21"/>
                <w:szCs w:val="21"/>
                <w:u w:val="none"/>
              </w:rPr>
              <w:t>内的“提问”栏目以网上提问的形式通知招标人或招标代理机构，招标人或招标代理机构应对提问做出的答复。</w:t>
            </w:r>
          </w:p>
        </w:tc>
      </w:tr>
      <w:tr w14:paraId="75CFA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71FB4271">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2.2.2</w:t>
            </w:r>
          </w:p>
        </w:tc>
        <w:tc>
          <w:tcPr>
            <w:tcW w:w="2641" w:type="dxa"/>
            <w:vAlign w:val="center"/>
          </w:tcPr>
          <w:p w14:paraId="524D2F5D">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招标文件澄清发出的形式</w:t>
            </w:r>
          </w:p>
        </w:tc>
        <w:tc>
          <w:tcPr>
            <w:tcW w:w="5516" w:type="dxa"/>
            <w:vAlign w:val="center"/>
          </w:tcPr>
          <w:p w14:paraId="41126586">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highlight w:val="none"/>
                <w:u w:val="none"/>
              </w:rPr>
              <w:t>投标截止时间十五日前，</w:t>
            </w:r>
            <w:r>
              <w:rPr>
                <w:rFonts w:hint="eastAsia" w:ascii="宋体" w:hAnsi="宋体" w:eastAsia="宋体" w:cs="宋体"/>
                <w:color w:val="000000"/>
                <w:sz w:val="21"/>
                <w:szCs w:val="21"/>
                <w:highlight w:val="none"/>
                <w:u w:val="none"/>
                <w:lang w:val="en-US" w:eastAsia="zh-CN"/>
              </w:rPr>
              <w:t>招标代理</w:t>
            </w:r>
            <w:r>
              <w:rPr>
                <w:rFonts w:hint="eastAsia" w:ascii="宋体" w:hAnsi="宋体" w:eastAsia="宋体" w:cs="宋体"/>
                <w:color w:val="000000"/>
                <w:sz w:val="21"/>
                <w:szCs w:val="21"/>
                <w:highlight w:val="none"/>
                <w:u w:val="none"/>
              </w:rPr>
              <w:t>在</w:t>
            </w:r>
            <w:r>
              <w:rPr>
                <w:rFonts w:hint="eastAsia" w:ascii="宋体" w:hAnsi="宋体" w:eastAsia="宋体" w:cs="宋体"/>
                <w:color w:val="000000"/>
                <w:sz w:val="21"/>
                <w:szCs w:val="21"/>
                <w:u w:val="single"/>
                <w:lang w:val="en-US" w:eastAsia="zh-CN"/>
              </w:rPr>
              <w:t>交易系统</w:t>
            </w:r>
            <w:r>
              <w:rPr>
                <w:rFonts w:hint="eastAsia" w:ascii="宋体" w:hAnsi="宋体" w:eastAsia="宋体" w:cs="宋体"/>
                <w:color w:val="000000"/>
                <w:sz w:val="21"/>
                <w:szCs w:val="21"/>
                <w:highlight w:val="none"/>
                <w:u w:val="none"/>
                <w:lang w:val="en-US" w:eastAsia="zh-CN"/>
              </w:rPr>
              <w:t>发布</w:t>
            </w:r>
            <w:r>
              <w:rPr>
                <w:rFonts w:hint="eastAsia" w:ascii="宋体" w:hAnsi="宋体" w:eastAsia="宋体" w:cs="宋体"/>
                <w:color w:val="000000"/>
                <w:sz w:val="21"/>
                <w:szCs w:val="21"/>
                <w:highlight w:val="none"/>
                <w:u w:val="none"/>
              </w:rPr>
              <w:t>澄清答疑文件</w:t>
            </w:r>
            <w:r>
              <w:rPr>
                <w:rFonts w:hint="eastAsia" w:ascii="宋体" w:hAnsi="宋体" w:eastAsia="宋体" w:cs="宋体"/>
                <w:color w:val="000000"/>
                <w:sz w:val="21"/>
                <w:szCs w:val="21"/>
                <w:highlight w:val="none"/>
                <w:u w:val="none"/>
                <w:lang w:eastAsia="zh-CN"/>
              </w:rPr>
              <w:t>，</w:t>
            </w:r>
            <w:r>
              <w:rPr>
                <w:rFonts w:hint="eastAsia" w:ascii="宋体" w:hAnsi="宋体" w:eastAsia="宋体" w:cs="宋体"/>
                <w:color w:val="000000"/>
                <w:sz w:val="21"/>
                <w:szCs w:val="21"/>
                <w:highlight w:val="none"/>
                <w:u w:val="none"/>
                <w:lang w:val="en-US" w:eastAsia="zh-CN"/>
              </w:rPr>
              <w:t>并</w:t>
            </w:r>
            <w:r>
              <w:rPr>
                <w:rFonts w:hint="eastAsia" w:ascii="宋体" w:hAnsi="宋体" w:eastAsia="宋体" w:cs="宋体"/>
                <w:color w:val="000000"/>
                <w:sz w:val="21"/>
                <w:szCs w:val="21"/>
                <w:highlight w:val="none"/>
                <w:u w:val="none"/>
              </w:rPr>
              <w:t>通知所有招标文件收受人。澄清发出时间距投标截止日期不够十五天，要延长投标时间。</w:t>
            </w:r>
          </w:p>
        </w:tc>
      </w:tr>
      <w:tr w14:paraId="2F682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Merge w:val="restart"/>
            <w:vAlign w:val="center"/>
          </w:tcPr>
          <w:p w14:paraId="1830E90D">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2.2.3</w:t>
            </w:r>
          </w:p>
        </w:tc>
        <w:tc>
          <w:tcPr>
            <w:tcW w:w="2641" w:type="dxa"/>
            <w:vMerge w:val="restart"/>
            <w:vAlign w:val="center"/>
          </w:tcPr>
          <w:p w14:paraId="10246217">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投标人确认收到招标文件澄清</w:t>
            </w:r>
          </w:p>
        </w:tc>
        <w:tc>
          <w:tcPr>
            <w:tcW w:w="5516" w:type="dxa"/>
            <w:vAlign w:val="center"/>
          </w:tcPr>
          <w:p w14:paraId="391D1495">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时间：</w:t>
            </w:r>
            <w:r>
              <w:rPr>
                <w:rFonts w:hint="eastAsia" w:ascii="宋体" w:hAnsi="宋体" w:eastAsia="宋体" w:cs="宋体"/>
                <w:color w:val="000000"/>
                <w:sz w:val="21"/>
                <w:szCs w:val="21"/>
                <w:highlight w:val="none"/>
              </w:rPr>
              <w:t>投标截止时间前</w:t>
            </w:r>
          </w:p>
        </w:tc>
      </w:tr>
      <w:tr w14:paraId="07F60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Merge w:val="continue"/>
            <w:vAlign w:val="center"/>
          </w:tcPr>
          <w:p w14:paraId="44EBEA5C">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p>
        </w:tc>
        <w:tc>
          <w:tcPr>
            <w:tcW w:w="2641" w:type="dxa"/>
            <w:vMerge w:val="continue"/>
            <w:vAlign w:val="center"/>
          </w:tcPr>
          <w:p w14:paraId="11213C09">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p>
        </w:tc>
        <w:tc>
          <w:tcPr>
            <w:tcW w:w="5516" w:type="dxa"/>
            <w:vAlign w:val="center"/>
          </w:tcPr>
          <w:p w14:paraId="414418B5">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形式：自行登录</w:t>
            </w:r>
            <w:r>
              <w:rPr>
                <w:rFonts w:hint="eastAsia" w:ascii="宋体" w:hAnsi="宋体" w:eastAsia="宋体" w:cs="宋体"/>
                <w:color w:val="000000"/>
                <w:sz w:val="21"/>
                <w:szCs w:val="21"/>
                <w:u w:val="single"/>
                <w:lang w:val="en-US" w:eastAsia="zh-CN"/>
              </w:rPr>
              <w:t>交易系统</w:t>
            </w:r>
            <w:r>
              <w:rPr>
                <w:rFonts w:hint="eastAsia" w:ascii="宋体" w:hAnsi="宋体" w:eastAsia="宋体" w:cs="宋体"/>
                <w:color w:val="000000"/>
                <w:sz w:val="21"/>
                <w:szCs w:val="21"/>
              </w:rPr>
              <w:t>，在系统内的“答疑文件下载”栏目以加盖电子签章的PDF回函文档形式通知招标人或招标代理机构已收到招标文件澄清、修改、答疑文件后，方可下载查看答疑、修改、澄清文件。</w:t>
            </w:r>
          </w:p>
        </w:tc>
      </w:tr>
      <w:tr w14:paraId="161B4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1EEC5EF5">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2.3.1</w:t>
            </w:r>
          </w:p>
        </w:tc>
        <w:tc>
          <w:tcPr>
            <w:tcW w:w="2641" w:type="dxa"/>
            <w:vAlign w:val="center"/>
          </w:tcPr>
          <w:p w14:paraId="2516926B">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招标文件修改发出的形式</w:t>
            </w:r>
          </w:p>
        </w:tc>
        <w:tc>
          <w:tcPr>
            <w:tcW w:w="5516" w:type="dxa"/>
            <w:vAlign w:val="center"/>
          </w:tcPr>
          <w:p w14:paraId="7255B105">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highlight w:val="none"/>
                <w:u w:val="none"/>
              </w:rPr>
              <w:t>投标截止时间十五日前，</w:t>
            </w:r>
            <w:r>
              <w:rPr>
                <w:rFonts w:hint="eastAsia" w:ascii="宋体" w:hAnsi="宋体" w:eastAsia="宋体" w:cs="宋体"/>
                <w:color w:val="000000"/>
                <w:sz w:val="21"/>
                <w:szCs w:val="21"/>
                <w:highlight w:val="none"/>
                <w:u w:val="none"/>
                <w:lang w:val="en-US" w:eastAsia="zh-CN"/>
              </w:rPr>
              <w:t>招标代理</w:t>
            </w:r>
            <w:r>
              <w:rPr>
                <w:rFonts w:hint="eastAsia" w:ascii="宋体" w:hAnsi="宋体" w:eastAsia="宋体" w:cs="宋体"/>
                <w:color w:val="000000"/>
                <w:sz w:val="21"/>
                <w:szCs w:val="21"/>
                <w:highlight w:val="none"/>
                <w:u w:val="none"/>
              </w:rPr>
              <w:t>在</w:t>
            </w:r>
            <w:r>
              <w:rPr>
                <w:rFonts w:hint="eastAsia" w:ascii="宋体" w:hAnsi="宋体" w:eastAsia="宋体" w:cs="宋体"/>
                <w:color w:val="000000"/>
                <w:sz w:val="21"/>
                <w:szCs w:val="21"/>
                <w:u w:val="single"/>
                <w:lang w:val="en-US" w:eastAsia="zh-CN"/>
              </w:rPr>
              <w:t>交易系统</w:t>
            </w:r>
            <w:r>
              <w:rPr>
                <w:rFonts w:hint="eastAsia" w:ascii="宋体" w:hAnsi="宋体" w:eastAsia="宋体" w:cs="宋体"/>
                <w:color w:val="000000"/>
                <w:sz w:val="21"/>
                <w:szCs w:val="21"/>
                <w:highlight w:val="none"/>
                <w:u w:val="none"/>
                <w:lang w:val="en-US" w:eastAsia="zh-CN"/>
              </w:rPr>
              <w:t>发布</w:t>
            </w:r>
            <w:r>
              <w:rPr>
                <w:rFonts w:hint="eastAsia" w:ascii="宋体" w:hAnsi="宋体" w:eastAsia="宋体" w:cs="宋体"/>
                <w:color w:val="000000"/>
                <w:sz w:val="21"/>
                <w:szCs w:val="21"/>
                <w:highlight w:val="none"/>
                <w:u w:val="none"/>
              </w:rPr>
              <w:t>澄清答疑文件</w:t>
            </w:r>
            <w:r>
              <w:rPr>
                <w:rFonts w:hint="eastAsia" w:ascii="宋体" w:hAnsi="宋体" w:eastAsia="宋体" w:cs="宋体"/>
                <w:color w:val="000000"/>
                <w:sz w:val="21"/>
                <w:szCs w:val="21"/>
                <w:highlight w:val="none"/>
                <w:u w:val="none"/>
                <w:lang w:eastAsia="zh-CN"/>
              </w:rPr>
              <w:t>，</w:t>
            </w:r>
            <w:r>
              <w:rPr>
                <w:rFonts w:hint="eastAsia" w:ascii="宋体" w:hAnsi="宋体" w:eastAsia="宋体" w:cs="宋体"/>
                <w:color w:val="000000"/>
                <w:sz w:val="21"/>
                <w:szCs w:val="21"/>
                <w:highlight w:val="none"/>
                <w:u w:val="none"/>
                <w:lang w:val="en-US" w:eastAsia="zh-CN"/>
              </w:rPr>
              <w:t>并</w:t>
            </w:r>
            <w:r>
              <w:rPr>
                <w:rFonts w:hint="eastAsia" w:ascii="宋体" w:hAnsi="宋体" w:eastAsia="宋体" w:cs="宋体"/>
                <w:color w:val="000000"/>
                <w:sz w:val="21"/>
                <w:szCs w:val="21"/>
                <w:highlight w:val="none"/>
                <w:u w:val="none"/>
              </w:rPr>
              <w:t>通知所有招标文件收受人。澄清发出时间距投标截止日期不够十五天，要延长投标时间。</w:t>
            </w:r>
          </w:p>
        </w:tc>
      </w:tr>
      <w:tr w14:paraId="6CC9A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Merge w:val="restart"/>
            <w:vAlign w:val="center"/>
          </w:tcPr>
          <w:p w14:paraId="2FAC2CFD">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2.3.2</w:t>
            </w:r>
          </w:p>
        </w:tc>
        <w:tc>
          <w:tcPr>
            <w:tcW w:w="2641" w:type="dxa"/>
            <w:vMerge w:val="restart"/>
            <w:vAlign w:val="center"/>
          </w:tcPr>
          <w:p w14:paraId="2C3B9337">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投标人确认收到招标文件修改</w:t>
            </w:r>
          </w:p>
        </w:tc>
        <w:tc>
          <w:tcPr>
            <w:tcW w:w="5516" w:type="dxa"/>
            <w:vAlign w:val="center"/>
          </w:tcPr>
          <w:p w14:paraId="63F22E24">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时间：</w:t>
            </w:r>
            <w:r>
              <w:rPr>
                <w:rFonts w:hint="eastAsia" w:ascii="宋体" w:hAnsi="宋体" w:eastAsia="宋体" w:cs="宋体"/>
                <w:color w:val="000000"/>
                <w:sz w:val="21"/>
                <w:szCs w:val="21"/>
                <w:highlight w:val="none"/>
              </w:rPr>
              <w:t>投标截止时间前</w:t>
            </w:r>
          </w:p>
        </w:tc>
      </w:tr>
      <w:tr w14:paraId="736F4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Merge w:val="continue"/>
            <w:vAlign w:val="center"/>
          </w:tcPr>
          <w:p w14:paraId="043B6AC3">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p>
        </w:tc>
        <w:tc>
          <w:tcPr>
            <w:tcW w:w="2641" w:type="dxa"/>
            <w:vMerge w:val="continue"/>
            <w:vAlign w:val="center"/>
          </w:tcPr>
          <w:p w14:paraId="2369D2F6">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p>
        </w:tc>
        <w:tc>
          <w:tcPr>
            <w:tcW w:w="5516" w:type="dxa"/>
            <w:vAlign w:val="center"/>
          </w:tcPr>
          <w:p w14:paraId="32F06FA8">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形式：</w:t>
            </w:r>
            <w:r>
              <w:rPr>
                <w:rFonts w:hint="eastAsia" w:ascii="宋体" w:hAnsi="宋体" w:eastAsia="宋体" w:cs="宋体"/>
                <w:color w:val="000000"/>
                <w:sz w:val="21"/>
                <w:szCs w:val="21"/>
                <w:highlight w:val="none"/>
              </w:rPr>
              <w:t>自行登录</w:t>
            </w:r>
            <w:r>
              <w:rPr>
                <w:rFonts w:hint="eastAsia" w:ascii="宋体" w:hAnsi="宋体" w:eastAsia="宋体" w:cs="宋体"/>
                <w:color w:val="000000"/>
                <w:sz w:val="21"/>
                <w:szCs w:val="21"/>
                <w:u w:val="single"/>
                <w:lang w:val="en-US" w:eastAsia="zh-CN"/>
              </w:rPr>
              <w:t>交易系统</w:t>
            </w:r>
            <w:r>
              <w:rPr>
                <w:rFonts w:hint="eastAsia" w:ascii="宋体" w:hAnsi="宋体" w:eastAsia="宋体" w:cs="宋体"/>
                <w:color w:val="000000"/>
                <w:sz w:val="21"/>
                <w:szCs w:val="21"/>
                <w:highlight w:val="none"/>
              </w:rPr>
              <w:t>，在系统内的“答疑文件下载”栏目以加盖电子签章的PDF回函文档形式通知招标人或招标代理机构已收到招标文件澄清、修改、答疑文件后，方可下载查看答疑、修改、澄清文件。</w:t>
            </w:r>
          </w:p>
        </w:tc>
      </w:tr>
      <w:tr w14:paraId="6A59A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05C566C4">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3.1.1</w:t>
            </w:r>
          </w:p>
        </w:tc>
        <w:tc>
          <w:tcPr>
            <w:tcW w:w="2641" w:type="dxa"/>
            <w:vAlign w:val="center"/>
          </w:tcPr>
          <w:p w14:paraId="51746988">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构成投标文件的其他资料</w:t>
            </w:r>
          </w:p>
        </w:tc>
        <w:tc>
          <w:tcPr>
            <w:tcW w:w="5516" w:type="dxa"/>
            <w:vAlign w:val="center"/>
          </w:tcPr>
          <w:p w14:paraId="487A59B6">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p>
        </w:tc>
      </w:tr>
      <w:tr w14:paraId="68E7B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6A6E78F9">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3.2.1</w:t>
            </w:r>
          </w:p>
        </w:tc>
        <w:tc>
          <w:tcPr>
            <w:tcW w:w="2641" w:type="dxa"/>
            <w:vAlign w:val="center"/>
          </w:tcPr>
          <w:p w14:paraId="134D19F1">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增值税税金的计算方法</w:t>
            </w:r>
          </w:p>
        </w:tc>
        <w:tc>
          <w:tcPr>
            <w:tcW w:w="5516" w:type="dxa"/>
            <w:vAlign w:val="center"/>
          </w:tcPr>
          <w:p w14:paraId="5AB232C0">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按照国家增值税税率进行计算；</w:t>
            </w:r>
          </w:p>
        </w:tc>
      </w:tr>
      <w:tr w14:paraId="5B508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4110C0EF">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3.2.4</w:t>
            </w:r>
          </w:p>
        </w:tc>
        <w:tc>
          <w:tcPr>
            <w:tcW w:w="2641" w:type="dxa"/>
            <w:vAlign w:val="center"/>
          </w:tcPr>
          <w:p w14:paraId="51227846">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最高投标限价</w:t>
            </w:r>
          </w:p>
        </w:tc>
        <w:tc>
          <w:tcPr>
            <w:tcW w:w="5516" w:type="dxa"/>
            <w:vAlign w:val="center"/>
          </w:tcPr>
          <w:p w14:paraId="72754A64">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sz w:val="21"/>
                <w:szCs w:val="21"/>
              </w:rPr>
              <w:t>□无</w:t>
            </w:r>
          </w:p>
          <w:p w14:paraId="24BDCD68">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sz w:val="21"/>
                <w:szCs w:val="21"/>
              </w:rPr>
            </w:pPr>
            <w:r>
              <w:rPr>
                <w:rFonts w:hint="eastAsia" w:ascii="宋体" w:hAnsi="宋体" w:eastAsia="宋体" w:cs="宋体"/>
                <w:sz w:val="21"/>
                <w:szCs w:val="21"/>
              </w:rPr>
              <w:t>□有，最高投标限价：</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lang w:val="en-US" w:eastAsia="zh-CN"/>
              </w:rPr>
              <w:t>。</w:t>
            </w:r>
          </w:p>
        </w:tc>
      </w:tr>
      <w:tr w14:paraId="10E99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66673F69">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3.2.5</w:t>
            </w:r>
          </w:p>
        </w:tc>
        <w:tc>
          <w:tcPr>
            <w:tcW w:w="2641" w:type="dxa"/>
            <w:vAlign w:val="center"/>
          </w:tcPr>
          <w:p w14:paraId="5B937AC1">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投标报价的其他要求</w:t>
            </w:r>
          </w:p>
        </w:tc>
        <w:tc>
          <w:tcPr>
            <w:tcW w:w="5516" w:type="dxa"/>
            <w:vAlign w:val="center"/>
          </w:tcPr>
          <w:p w14:paraId="5D7765D1">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u w:val="single"/>
                <w:lang w:val="en-US" w:eastAsia="zh-CN"/>
              </w:rPr>
              <w:t xml:space="preserve">无         </w:t>
            </w:r>
            <w:r>
              <w:rPr>
                <w:rFonts w:hint="eastAsia" w:ascii="宋体" w:hAnsi="宋体" w:eastAsia="宋体" w:cs="宋体"/>
                <w:color w:val="000000"/>
                <w:sz w:val="21"/>
                <w:szCs w:val="21"/>
                <w:lang w:val="en-US" w:eastAsia="zh-CN"/>
              </w:rPr>
              <w:t>。</w:t>
            </w:r>
          </w:p>
        </w:tc>
      </w:tr>
      <w:tr w14:paraId="75622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391032F9">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3.3.1</w:t>
            </w:r>
          </w:p>
        </w:tc>
        <w:tc>
          <w:tcPr>
            <w:tcW w:w="2641" w:type="dxa"/>
            <w:vAlign w:val="center"/>
          </w:tcPr>
          <w:p w14:paraId="7B8A5821">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投标有效期</w:t>
            </w:r>
          </w:p>
        </w:tc>
        <w:tc>
          <w:tcPr>
            <w:tcW w:w="5516" w:type="dxa"/>
            <w:vAlign w:val="center"/>
          </w:tcPr>
          <w:p w14:paraId="738937D4">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bookmarkStart w:id="7" w:name="_Toc361508582"/>
            <w:bookmarkStart w:id="8" w:name="_Toc300834946"/>
            <w:bookmarkStart w:id="9" w:name="_Toc384308207"/>
            <w:bookmarkStart w:id="10" w:name="_Toc1789"/>
            <w:bookmarkStart w:id="11" w:name="_Toc369531512"/>
            <w:bookmarkStart w:id="12" w:name="_Toc352691470"/>
            <w:r>
              <w:rPr>
                <w:rFonts w:hint="eastAsia" w:ascii="宋体" w:hAnsi="宋体" w:eastAsia="宋体" w:cs="宋体"/>
                <w:color w:val="000000"/>
                <w:sz w:val="21"/>
                <w:szCs w:val="21"/>
                <w:u w:val="none"/>
              </w:rPr>
              <w:t>为</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none"/>
              </w:rPr>
              <w:t>日历天（从投标截止之日算起）</w:t>
            </w:r>
          </w:p>
        </w:tc>
      </w:tr>
      <w:bookmarkEnd w:id="7"/>
      <w:bookmarkEnd w:id="8"/>
      <w:bookmarkEnd w:id="9"/>
      <w:bookmarkEnd w:id="10"/>
      <w:bookmarkEnd w:id="11"/>
      <w:bookmarkEnd w:id="12"/>
      <w:tr w14:paraId="26C08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165" w:type="dxa"/>
            <w:vAlign w:val="center"/>
          </w:tcPr>
          <w:p w14:paraId="20338495">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3.4.1</w:t>
            </w:r>
          </w:p>
        </w:tc>
        <w:tc>
          <w:tcPr>
            <w:tcW w:w="2641" w:type="dxa"/>
            <w:vAlign w:val="center"/>
          </w:tcPr>
          <w:p w14:paraId="574135EB">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投标保证金</w:t>
            </w:r>
          </w:p>
        </w:tc>
        <w:tc>
          <w:tcPr>
            <w:tcW w:w="5516" w:type="dxa"/>
            <w:vAlign w:val="center"/>
          </w:tcPr>
          <w:p w14:paraId="06509358">
            <w:pPr>
              <w:keepNext w:val="0"/>
              <w:keepLines w:val="0"/>
              <w:pageBreakBefore w:val="0"/>
              <w:widowControl/>
              <w:suppressLineNumbers w:val="0"/>
              <w:kinsoku/>
              <w:wordWrap/>
              <w:overflowPunct/>
              <w:autoSpaceDE/>
              <w:autoSpaceDN/>
              <w:bidi w:val="0"/>
              <w:adjustRightInd/>
              <w:snapToGrid/>
              <w:spacing w:before="143" w:beforeLines="50" w:after="143" w:afterLines="50" w:line="240" w:lineRule="auto"/>
              <w:jc w:val="both"/>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投标保证金缴纳要求：</w:t>
            </w:r>
          </w:p>
          <w:p w14:paraId="626C61BF">
            <w:pPr>
              <w:keepNext w:val="0"/>
              <w:keepLines w:val="0"/>
              <w:pageBreakBefore w:val="0"/>
              <w:widowControl/>
              <w:suppressLineNumbers w:val="0"/>
              <w:kinsoku/>
              <w:wordWrap/>
              <w:overflowPunct/>
              <w:autoSpaceDE/>
              <w:autoSpaceDN/>
              <w:bidi w:val="0"/>
              <w:adjustRightInd/>
              <w:snapToGrid/>
              <w:spacing w:before="143" w:beforeLines="50" w:after="143" w:afterLines="50" w:line="240" w:lineRule="auto"/>
              <w:jc w:val="both"/>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1、投标保证金缴纳方式：电子保函、银行转账、电汇、网上银行；</w:t>
            </w:r>
          </w:p>
          <w:p w14:paraId="1207F543">
            <w:pPr>
              <w:keepNext w:val="0"/>
              <w:keepLines w:val="0"/>
              <w:pageBreakBefore w:val="0"/>
              <w:widowControl/>
              <w:suppressLineNumbers w:val="0"/>
              <w:kinsoku/>
              <w:wordWrap/>
              <w:overflowPunct/>
              <w:autoSpaceDE/>
              <w:autoSpaceDN/>
              <w:bidi w:val="0"/>
              <w:adjustRightInd/>
              <w:snapToGrid/>
              <w:spacing w:before="143" w:beforeLines="50" w:after="143" w:afterLines="50" w:line="240" w:lineRule="auto"/>
              <w:jc w:val="both"/>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2、投标保证金的金额：</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none"/>
                <w:lang w:val="en-US" w:eastAsia="zh-CN"/>
              </w:rPr>
              <w:t>。</w:t>
            </w:r>
          </w:p>
          <w:p w14:paraId="775D5A33">
            <w:pPr>
              <w:keepNext w:val="0"/>
              <w:keepLines w:val="0"/>
              <w:pageBreakBefore w:val="0"/>
              <w:widowControl/>
              <w:suppressLineNumbers w:val="0"/>
              <w:kinsoku/>
              <w:wordWrap/>
              <w:overflowPunct/>
              <w:autoSpaceDE/>
              <w:autoSpaceDN/>
              <w:bidi w:val="0"/>
              <w:adjustRightInd/>
              <w:snapToGrid/>
              <w:spacing w:before="143" w:beforeLines="50" w:after="143" w:afterLines="50" w:line="240" w:lineRule="auto"/>
              <w:jc w:val="both"/>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3、投标保证金必须从本单位在诚信信息库中登记的基本账户转出；</w:t>
            </w:r>
          </w:p>
          <w:p w14:paraId="1848CCDF">
            <w:pPr>
              <w:keepNext w:val="0"/>
              <w:keepLines w:val="0"/>
              <w:pageBreakBefore w:val="0"/>
              <w:widowControl/>
              <w:suppressLineNumbers w:val="0"/>
              <w:kinsoku/>
              <w:wordWrap/>
              <w:overflowPunct/>
              <w:autoSpaceDE/>
              <w:autoSpaceDN/>
              <w:bidi w:val="0"/>
              <w:adjustRightInd/>
              <w:snapToGrid/>
              <w:spacing w:before="143" w:beforeLines="50" w:after="143" w:afterLines="50" w:line="240" w:lineRule="auto"/>
              <w:jc w:val="both"/>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4、投标保证金必须在投标截止时间前（以银行到账时间为准）转入本标段保证金查询中任意一个呼市公共资源交易服务中心保证金账户；</w:t>
            </w:r>
          </w:p>
          <w:p w14:paraId="171A9541">
            <w:pPr>
              <w:keepNext w:val="0"/>
              <w:keepLines w:val="0"/>
              <w:pageBreakBefore w:val="0"/>
              <w:widowControl/>
              <w:suppressLineNumbers w:val="0"/>
              <w:kinsoku/>
              <w:wordWrap/>
              <w:overflowPunct/>
              <w:autoSpaceDE/>
              <w:autoSpaceDN/>
              <w:bidi w:val="0"/>
              <w:adjustRightInd/>
              <w:snapToGrid/>
              <w:spacing w:before="143" w:beforeLines="50" w:after="143" w:afterLines="50" w:line="240" w:lineRule="auto"/>
              <w:jc w:val="both"/>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5、电子保函办理：</w:t>
            </w:r>
            <w:r>
              <w:rPr>
                <w:rFonts w:hint="eastAsia" w:ascii="宋体" w:hAnsi="宋体" w:eastAsia="宋体" w:cs="宋体"/>
                <w:color w:val="000000"/>
                <w:sz w:val="21"/>
                <w:szCs w:val="21"/>
              </w:rPr>
              <w:t>登录交易系统通过系统中电子保函办理入口办理投标银行保函、投标担保保函、投标保证保险。</w:t>
            </w:r>
          </w:p>
          <w:p w14:paraId="5A2A5196">
            <w:pPr>
              <w:keepNext w:val="0"/>
              <w:keepLines w:val="0"/>
              <w:pageBreakBefore w:val="0"/>
              <w:widowControl/>
              <w:suppressLineNumbers w:val="0"/>
              <w:kinsoku/>
              <w:wordWrap/>
              <w:overflowPunct/>
              <w:autoSpaceDE/>
              <w:autoSpaceDN/>
              <w:bidi w:val="0"/>
              <w:adjustRightInd/>
              <w:snapToGrid/>
              <w:spacing w:before="143" w:beforeLines="50" w:after="143" w:afterLines="50" w:line="240" w:lineRule="auto"/>
              <w:jc w:val="both"/>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6、鼓励投保人使用电子保函方式缴纳投标保证金。</w:t>
            </w:r>
          </w:p>
          <w:p w14:paraId="7D404557">
            <w:pPr>
              <w:keepNext w:val="0"/>
              <w:keepLines w:val="0"/>
              <w:pageBreakBefore w:val="0"/>
              <w:widowControl/>
              <w:suppressLineNumbers w:val="0"/>
              <w:kinsoku/>
              <w:wordWrap/>
              <w:overflowPunct/>
              <w:autoSpaceDE/>
              <w:autoSpaceDN/>
              <w:bidi w:val="0"/>
              <w:adjustRightInd/>
              <w:snapToGrid/>
              <w:spacing w:before="143" w:beforeLines="50" w:after="143" w:afterLines="50" w:line="240" w:lineRule="auto"/>
              <w:jc w:val="both"/>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7、其他要求：</w:t>
            </w:r>
            <w:r>
              <w:rPr>
                <w:rFonts w:hint="eastAsia" w:ascii="宋体" w:hAnsi="宋体" w:eastAsia="宋体" w:cs="宋体"/>
                <w:color w:val="000000"/>
                <w:sz w:val="21"/>
                <w:szCs w:val="21"/>
                <w:u w:val="single"/>
                <w:lang w:val="en-US" w:eastAsia="zh-CN"/>
              </w:rPr>
              <w:t xml:space="preserve">  无   </w:t>
            </w:r>
            <w:r>
              <w:rPr>
                <w:rFonts w:hint="eastAsia" w:ascii="宋体" w:hAnsi="宋体" w:eastAsia="宋体" w:cs="宋体"/>
                <w:color w:val="000000"/>
                <w:sz w:val="21"/>
                <w:szCs w:val="21"/>
                <w:lang w:val="en-US" w:eastAsia="zh-CN"/>
              </w:rPr>
              <w:t>。</w:t>
            </w:r>
          </w:p>
          <w:p w14:paraId="1BBFE62D">
            <w:pPr>
              <w:keepNext w:val="0"/>
              <w:keepLines w:val="0"/>
              <w:pageBreakBefore w:val="0"/>
              <w:widowControl/>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未按以上要求办理的投标保证金视为无效，投标文件将被拒绝，其投标无效。后果由投标人自行承担。</w:t>
            </w:r>
          </w:p>
        </w:tc>
      </w:tr>
      <w:tr w14:paraId="57DACA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1165" w:type="dxa"/>
            <w:vAlign w:val="center"/>
          </w:tcPr>
          <w:p w14:paraId="213EC4F3">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3.4.4</w:t>
            </w:r>
          </w:p>
        </w:tc>
        <w:tc>
          <w:tcPr>
            <w:tcW w:w="2641" w:type="dxa"/>
            <w:vAlign w:val="center"/>
          </w:tcPr>
          <w:p w14:paraId="296FDCFA">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sz w:val="21"/>
                <w:szCs w:val="21"/>
              </w:rPr>
              <w:t>其他可以不予退还投标保证金的情形</w:t>
            </w:r>
          </w:p>
        </w:tc>
        <w:tc>
          <w:tcPr>
            <w:tcW w:w="5516" w:type="dxa"/>
            <w:vAlign w:val="center"/>
          </w:tcPr>
          <w:p w14:paraId="7549ECB6">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p>
        </w:tc>
      </w:tr>
      <w:tr w14:paraId="2B68E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1165" w:type="dxa"/>
            <w:vAlign w:val="center"/>
          </w:tcPr>
          <w:p w14:paraId="30BDDCA8">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3.5</w:t>
            </w:r>
          </w:p>
        </w:tc>
        <w:tc>
          <w:tcPr>
            <w:tcW w:w="2641" w:type="dxa"/>
            <w:vAlign w:val="center"/>
          </w:tcPr>
          <w:p w14:paraId="37211055">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资格审查资料的特殊要求</w:t>
            </w:r>
          </w:p>
        </w:tc>
        <w:tc>
          <w:tcPr>
            <w:tcW w:w="5516" w:type="dxa"/>
            <w:vAlign w:val="center"/>
          </w:tcPr>
          <w:p w14:paraId="40DD6B35">
            <w:pPr>
              <w:pStyle w:val="9"/>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w:t>
            </w:r>
            <w:r>
              <w:rPr>
                <w:rFonts w:hint="eastAsia" w:ascii="宋体" w:hAnsi="宋体" w:eastAsia="宋体" w:cs="宋体"/>
                <w:sz w:val="21"/>
                <w:szCs w:val="21"/>
              </w:rPr>
              <w:t>无</w:t>
            </w:r>
          </w:p>
          <w:p w14:paraId="6E8C97BA">
            <w:pPr>
              <w:pStyle w:val="9"/>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w:t>
            </w:r>
            <w:r>
              <w:rPr>
                <w:rFonts w:hint="eastAsia" w:ascii="宋体" w:hAnsi="宋体" w:eastAsia="宋体" w:cs="宋体"/>
                <w:sz w:val="21"/>
                <w:szCs w:val="21"/>
              </w:rPr>
              <w:t>有，具体要求：</w:t>
            </w:r>
          </w:p>
        </w:tc>
      </w:tr>
      <w:tr w14:paraId="16E9A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1165" w:type="dxa"/>
            <w:vAlign w:val="center"/>
          </w:tcPr>
          <w:p w14:paraId="2BA5DDEB">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3.5.2</w:t>
            </w:r>
          </w:p>
        </w:tc>
        <w:tc>
          <w:tcPr>
            <w:tcW w:w="2641" w:type="dxa"/>
            <w:vAlign w:val="center"/>
          </w:tcPr>
          <w:p w14:paraId="2BA9C6EF">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近年财务状况的年份要求</w:t>
            </w:r>
          </w:p>
        </w:tc>
        <w:tc>
          <w:tcPr>
            <w:tcW w:w="5516" w:type="dxa"/>
            <w:vAlign w:val="center"/>
          </w:tcPr>
          <w:p w14:paraId="469A66D3">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u w:val="single"/>
              </w:rPr>
            </w:pPr>
            <w:r>
              <w:rPr>
                <w:rFonts w:hint="eastAsia" w:ascii="宋体" w:hAnsi="宋体" w:eastAsia="宋体" w:cs="宋体"/>
                <w:color w:val="000000"/>
                <w:sz w:val="21"/>
                <w:szCs w:val="21"/>
                <w:u w:val="none"/>
                <w:lang w:val="en-US" w:eastAsia="zh-CN"/>
              </w:rPr>
              <w:t>近</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年，指</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年</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日起至</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年</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日止。</w:t>
            </w:r>
          </w:p>
        </w:tc>
      </w:tr>
      <w:tr w14:paraId="7B799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1165" w:type="dxa"/>
            <w:vAlign w:val="center"/>
          </w:tcPr>
          <w:p w14:paraId="61014FED">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3.5.3</w:t>
            </w:r>
          </w:p>
        </w:tc>
        <w:tc>
          <w:tcPr>
            <w:tcW w:w="2641" w:type="dxa"/>
            <w:vAlign w:val="center"/>
          </w:tcPr>
          <w:p w14:paraId="5F1C5411">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近年完成的类似项目情况的时间要求</w:t>
            </w:r>
          </w:p>
        </w:tc>
        <w:tc>
          <w:tcPr>
            <w:tcW w:w="5516" w:type="dxa"/>
            <w:vAlign w:val="center"/>
          </w:tcPr>
          <w:p w14:paraId="659A6324">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u w:val="none"/>
                <w:lang w:val="en-US" w:eastAsia="zh-CN"/>
              </w:rPr>
              <w:t>近</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年，指</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年</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日起至</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年</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日止。</w:t>
            </w:r>
          </w:p>
        </w:tc>
      </w:tr>
      <w:tr w14:paraId="4083A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1165" w:type="dxa"/>
            <w:vAlign w:val="center"/>
          </w:tcPr>
          <w:p w14:paraId="2E5FA992">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3.6.1</w:t>
            </w:r>
          </w:p>
        </w:tc>
        <w:tc>
          <w:tcPr>
            <w:tcW w:w="2641" w:type="dxa"/>
            <w:vAlign w:val="center"/>
          </w:tcPr>
          <w:p w14:paraId="4721D930">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sz w:val="21"/>
                <w:szCs w:val="21"/>
              </w:rPr>
              <w:t>是否允许递交备选投标方案</w:t>
            </w:r>
          </w:p>
        </w:tc>
        <w:tc>
          <w:tcPr>
            <w:tcW w:w="5516" w:type="dxa"/>
            <w:vAlign w:val="center"/>
          </w:tcPr>
          <w:p w14:paraId="530EDCBD">
            <w:pPr>
              <w:pStyle w:val="9"/>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sz w:val="21"/>
                <w:szCs w:val="21"/>
              </w:rPr>
            </w:pPr>
            <w:r>
              <w:rPr>
                <w:rFonts w:hint="eastAsia" w:ascii="宋体" w:hAnsi="宋体" w:eastAsia="宋体" w:cs="宋体"/>
                <w:color w:val="000000"/>
                <w:sz w:val="21"/>
                <w:szCs w:val="21"/>
              </w:rPr>
              <w:t>□</w:t>
            </w:r>
            <w:r>
              <w:rPr>
                <w:rFonts w:hint="eastAsia" w:ascii="宋体" w:hAnsi="宋体" w:eastAsia="宋体" w:cs="宋体"/>
                <w:sz w:val="21"/>
                <w:szCs w:val="21"/>
              </w:rPr>
              <w:t>不允许</w:t>
            </w:r>
          </w:p>
          <w:p w14:paraId="5FA7A8CE">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sz w:val="21"/>
                <w:szCs w:val="21"/>
              </w:rPr>
              <w:t>□允许</w:t>
            </w:r>
          </w:p>
        </w:tc>
      </w:tr>
      <w:tr w14:paraId="26181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2E0C120A">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3.7.3</w:t>
            </w:r>
          </w:p>
        </w:tc>
        <w:tc>
          <w:tcPr>
            <w:tcW w:w="2641" w:type="dxa"/>
            <w:vAlign w:val="center"/>
          </w:tcPr>
          <w:p w14:paraId="2BE85948">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投标文件所附证书证件要求</w:t>
            </w:r>
          </w:p>
        </w:tc>
        <w:tc>
          <w:tcPr>
            <w:tcW w:w="5516" w:type="dxa"/>
            <w:vAlign w:val="center"/>
          </w:tcPr>
          <w:p w14:paraId="2FCF11CC">
            <w:pPr>
              <w:pStyle w:val="9"/>
              <w:keepNext w:val="0"/>
              <w:keepLines w:val="0"/>
              <w:pageBreakBefore w:val="0"/>
              <w:widowControl w:val="0"/>
              <w:kinsoku/>
              <w:wordWrap/>
              <w:overflowPunct/>
              <w:topLinePunct/>
              <w:autoSpaceDE/>
              <w:autoSpaceDN/>
              <w:bidi w:val="0"/>
              <w:adjustRightInd/>
              <w:snapToGrid/>
              <w:spacing w:before="143" w:beforeLines="50" w:after="143" w:afterLines="50" w:line="240" w:lineRule="auto"/>
              <w:textAlignment w:val="auto"/>
              <w:rPr>
                <w:rFonts w:hint="eastAsia" w:ascii="宋体" w:hAnsi="宋体" w:eastAsia="宋体" w:cs="宋体"/>
                <w:color w:val="000000"/>
                <w:sz w:val="21"/>
                <w:szCs w:val="21"/>
              </w:rPr>
            </w:pPr>
          </w:p>
        </w:tc>
      </w:tr>
      <w:tr w14:paraId="6207E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6647B204">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3.7.3</w:t>
            </w:r>
          </w:p>
        </w:tc>
        <w:tc>
          <w:tcPr>
            <w:tcW w:w="2641" w:type="dxa"/>
            <w:vAlign w:val="center"/>
          </w:tcPr>
          <w:p w14:paraId="6F0066D9">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投标文件签字或盖章要求</w:t>
            </w:r>
          </w:p>
        </w:tc>
        <w:tc>
          <w:tcPr>
            <w:tcW w:w="5516" w:type="dxa"/>
            <w:vAlign w:val="center"/>
          </w:tcPr>
          <w:p w14:paraId="21B11519">
            <w:pPr>
              <w:keepNext w:val="0"/>
              <w:keepLines w:val="0"/>
              <w:pageBreakBefore w:val="0"/>
              <w:widowControl w:val="0"/>
              <w:kinsoku/>
              <w:wordWrap/>
              <w:overflowPunct/>
              <w:autoSpaceDE/>
              <w:autoSpaceDN/>
              <w:bidi w:val="0"/>
              <w:adjustRightInd/>
              <w:snapToGrid/>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投标文件应使用“新点投标文件制作软件”编制而成。投标文件格式文件要求盖单位法人章或签字的地方，投标人均应使用 CA 数字证书加盖投标人的单位电子印章或电子签名。</w:t>
            </w:r>
          </w:p>
          <w:p w14:paraId="27251630">
            <w:pPr>
              <w:pStyle w:val="9"/>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kern w:val="2"/>
                <w:sz w:val="21"/>
                <w:szCs w:val="21"/>
                <w:lang w:val="en-US" w:eastAsia="zh-CN" w:bidi="ar-SA"/>
              </w:rPr>
              <w:t>未按上述规定执行的，其投标无效。后果由投标人自行承担 。</w:t>
            </w:r>
          </w:p>
        </w:tc>
      </w:tr>
      <w:tr w14:paraId="0DDBE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56289943">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4.1.1</w:t>
            </w:r>
          </w:p>
        </w:tc>
        <w:tc>
          <w:tcPr>
            <w:tcW w:w="2641" w:type="dxa"/>
            <w:vAlign w:val="center"/>
          </w:tcPr>
          <w:p w14:paraId="67DA6C81">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投标文件加密要求</w:t>
            </w:r>
          </w:p>
        </w:tc>
        <w:tc>
          <w:tcPr>
            <w:tcW w:w="5516" w:type="dxa"/>
            <w:vAlign w:val="center"/>
          </w:tcPr>
          <w:p w14:paraId="507754EA">
            <w:pPr>
              <w:pStyle w:val="9"/>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本项目采用全流程电子招标投标，投标人提供的投标文件为：加</w:t>
            </w:r>
            <w:r>
              <w:rPr>
                <w:rFonts w:hint="eastAsia" w:ascii="宋体" w:hAnsi="宋体" w:eastAsia="宋体" w:cs="宋体"/>
                <w:color w:val="000000"/>
                <w:sz w:val="21"/>
                <w:szCs w:val="21"/>
                <w:highlight w:val="none"/>
              </w:rPr>
              <w:t>密电子投标文件（网上递交）一份。否则招标人将予以拒收。</w:t>
            </w:r>
          </w:p>
        </w:tc>
      </w:tr>
      <w:tr w14:paraId="63F91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36750D9D">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4.2.1</w:t>
            </w:r>
          </w:p>
        </w:tc>
        <w:tc>
          <w:tcPr>
            <w:tcW w:w="2641" w:type="dxa"/>
            <w:vAlign w:val="center"/>
          </w:tcPr>
          <w:p w14:paraId="317AAED8">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投标截止时间</w:t>
            </w:r>
          </w:p>
        </w:tc>
        <w:tc>
          <w:tcPr>
            <w:tcW w:w="5516" w:type="dxa"/>
            <w:vAlign w:val="center"/>
          </w:tcPr>
          <w:p w14:paraId="3157795D">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年</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日</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时</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分</w:t>
            </w:r>
          </w:p>
        </w:tc>
      </w:tr>
      <w:tr w14:paraId="4FF98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59BB3568">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4.2.2</w:t>
            </w:r>
          </w:p>
        </w:tc>
        <w:tc>
          <w:tcPr>
            <w:tcW w:w="2641" w:type="dxa"/>
            <w:vAlign w:val="center"/>
          </w:tcPr>
          <w:p w14:paraId="308CD6CE">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递交投标文件地点</w:t>
            </w:r>
          </w:p>
        </w:tc>
        <w:tc>
          <w:tcPr>
            <w:tcW w:w="5516" w:type="dxa"/>
            <w:vAlign w:val="center"/>
          </w:tcPr>
          <w:p w14:paraId="65428AAE">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u w:val="none"/>
              </w:rPr>
              <w:t>投标人应当在投标截止时间前，通过互联网使用数字证书登录“</w:t>
            </w:r>
            <w:r>
              <w:rPr>
                <w:rFonts w:hint="eastAsia" w:ascii="宋体" w:hAnsi="宋体" w:eastAsia="宋体" w:cs="宋体"/>
                <w:color w:val="000000"/>
                <w:sz w:val="21"/>
                <w:szCs w:val="21"/>
                <w:u w:val="single"/>
                <w:lang w:val="en-US" w:eastAsia="zh-CN"/>
              </w:rPr>
              <w:t>交易系统</w:t>
            </w:r>
            <w:r>
              <w:rPr>
                <w:rFonts w:hint="eastAsia" w:ascii="宋体" w:hAnsi="宋体" w:eastAsia="宋体" w:cs="宋体"/>
                <w:color w:val="000000"/>
                <w:sz w:val="21"/>
                <w:szCs w:val="21"/>
                <w:u w:val="none"/>
              </w:rPr>
              <w:t>”，将加密的电子投标文件上传。</w:t>
            </w:r>
          </w:p>
        </w:tc>
      </w:tr>
      <w:tr w14:paraId="48CE8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45597381">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4.2.3</w:t>
            </w:r>
          </w:p>
        </w:tc>
        <w:tc>
          <w:tcPr>
            <w:tcW w:w="2641" w:type="dxa"/>
            <w:vAlign w:val="center"/>
          </w:tcPr>
          <w:p w14:paraId="06E481CA">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投标文件是否退还</w:t>
            </w:r>
          </w:p>
        </w:tc>
        <w:tc>
          <w:tcPr>
            <w:tcW w:w="5516" w:type="dxa"/>
            <w:vAlign w:val="center"/>
          </w:tcPr>
          <w:p w14:paraId="4F23FCF8">
            <w:pPr>
              <w:pStyle w:val="9"/>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sz w:val="21"/>
                <w:szCs w:val="21"/>
              </w:rPr>
            </w:pPr>
            <w:r>
              <w:rPr>
                <w:rFonts w:hint="eastAsia" w:ascii="宋体" w:hAnsi="宋体" w:eastAsia="宋体" w:cs="宋体"/>
                <w:sz w:val="21"/>
                <w:szCs w:val="21"/>
              </w:rPr>
              <w:t>否</w:t>
            </w:r>
          </w:p>
        </w:tc>
      </w:tr>
      <w:tr w14:paraId="2A7E6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1165" w:type="dxa"/>
            <w:vAlign w:val="center"/>
          </w:tcPr>
          <w:p w14:paraId="79D30C34">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5.1</w:t>
            </w:r>
          </w:p>
        </w:tc>
        <w:tc>
          <w:tcPr>
            <w:tcW w:w="2641" w:type="dxa"/>
            <w:vAlign w:val="center"/>
          </w:tcPr>
          <w:p w14:paraId="71C7BACA">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开标时间和地点</w:t>
            </w:r>
          </w:p>
        </w:tc>
        <w:tc>
          <w:tcPr>
            <w:tcW w:w="5516" w:type="dxa"/>
            <w:vAlign w:val="center"/>
          </w:tcPr>
          <w:p w14:paraId="11506D68">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开标时间：同投标截止时间</w:t>
            </w:r>
          </w:p>
          <w:p w14:paraId="013302DD">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rPr>
              <w:t>开标地点：</w:t>
            </w:r>
            <w:r>
              <w:rPr>
                <w:rFonts w:hint="eastAsia" w:ascii="宋体" w:hAnsi="宋体" w:eastAsia="宋体" w:cs="宋体"/>
                <w:color w:val="000000"/>
                <w:sz w:val="21"/>
                <w:szCs w:val="21"/>
                <w:u w:val="single"/>
                <w:lang w:val="en-US" w:eastAsia="zh-CN"/>
              </w:rPr>
              <w:t xml:space="preserve">                </w:t>
            </w:r>
          </w:p>
          <w:p w14:paraId="0E61BD7C">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bCs/>
                <w:sz w:val="21"/>
                <w:szCs w:val="21"/>
              </w:rPr>
              <w:t>注意：解密投标文件需使用加密电子投标文件的数字证书。投标人代表可通过互联网使用该数字证书登录</w:t>
            </w:r>
            <w:r>
              <w:rPr>
                <w:rFonts w:hint="eastAsia" w:ascii="宋体" w:hAnsi="宋体" w:eastAsia="宋体" w:cs="宋体"/>
                <w:bCs/>
                <w:sz w:val="21"/>
                <w:szCs w:val="21"/>
                <w:lang w:val="en-US" w:eastAsia="zh-CN"/>
              </w:rPr>
              <w:t>呼和浩特市不见面开标大厅</w:t>
            </w:r>
            <w:r>
              <w:rPr>
                <w:rFonts w:hint="eastAsia" w:ascii="宋体" w:hAnsi="宋体" w:eastAsia="宋体" w:cs="宋体"/>
                <w:bCs/>
                <w:sz w:val="21"/>
                <w:szCs w:val="21"/>
              </w:rPr>
              <w:t>，采用远程解密的方式在</w:t>
            </w:r>
            <w:r>
              <w:rPr>
                <w:rFonts w:hint="eastAsia" w:ascii="宋体" w:hAnsi="宋体" w:eastAsia="宋体" w:cs="宋体"/>
                <w:bCs/>
                <w:sz w:val="21"/>
                <w:szCs w:val="21"/>
                <w:highlight w:val="none"/>
              </w:rPr>
              <w:t>投标须知前附表规定的时间内</w:t>
            </w:r>
            <w:r>
              <w:rPr>
                <w:rFonts w:hint="eastAsia" w:ascii="宋体" w:hAnsi="宋体" w:eastAsia="宋体" w:cs="宋体"/>
                <w:bCs/>
                <w:sz w:val="21"/>
                <w:szCs w:val="21"/>
              </w:rPr>
              <w:t>完成投标文件解密工作。</w:t>
            </w:r>
          </w:p>
        </w:tc>
      </w:tr>
      <w:tr w14:paraId="386A9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1165" w:type="dxa"/>
            <w:vAlign w:val="center"/>
          </w:tcPr>
          <w:p w14:paraId="153CB0E3">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5.1.2</w:t>
            </w:r>
          </w:p>
        </w:tc>
        <w:tc>
          <w:tcPr>
            <w:tcW w:w="2641" w:type="dxa"/>
            <w:vAlign w:val="center"/>
          </w:tcPr>
          <w:p w14:paraId="07A8E314">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解密时间</w:t>
            </w:r>
          </w:p>
        </w:tc>
        <w:tc>
          <w:tcPr>
            <w:tcW w:w="5516" w:type="dxa"/>
            <w:vAlign w:val="center"/>
          </w:tcPr>
          <w:p w14:paraId="775BBB57">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解密时间：</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分钟</w:t>
            </w:r>
          </w:p>
          <w:p w14:paraId="4E502119">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rPr>
              <w:t>注意：因</w:t>
            </w:r>
            <w:r>
              <w:rPr>
                <w:rFonts w:hint="eastAsia" w:ascii="宋体" w:hAnsi="宋体" w:eastAsia="宋体" w:cs="宋体"/>
                <w:bCs/>
                <w:sz w:val="21"/>
                <w:szCs w:val="21"/>
                <w:lang w:val="en-US" w:eastAsia="zh-CN"/>
              </w:rPr>
              <w:t>不见面开标大厅</w:t>
            </w:r>
            <w:r>
              <w:rPr>
                <w:rFonts w:hint="eastAsia" w:ascii="宋体" w:hAnsi="宋体" w:eastAsia="宋体" w:cs="宋体"/>
                <w:color w:val="000000"/>
                <w:sz w:val="21"/>
                <w:szCs w:val="21"/>
              </w:rPr>
              <w:t>等原因影响解密进程时，招标人可根据现场投标情况延长解密时间；因投标人原因未完成解密工作的，视为撤销其投标文件。</w:t>
            </w:r>
          </w:p>
        </w:tc>
      </w:tr>
      <w:tr w14:paraId="623C1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1165" w:type="dxa"/>
            <w:vAlign w:val="center"/>
          </w:tcPr>
          <w:p w14:paraId="1A14C1A7">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5.2</w:t>
            </w:r>
          </w:p>
        </w:tc>
        <w:tc>
          <w:tcPr>
            <w:tcW w:w="2641" w:type="dxa"/>
            <w:vAlign w:val="center"/>
          </w:tcPr>
          <w:p w14:paraId="00D122E0">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开标程序</w:t>
            </w:r>
          </w:p>
        </w:tc>
        <w:tc>
          <w:tcPr>
            <w:tcW w:w="5516" w:type="dxa"/>
            <w:vAlign w:val="center"/>
          </w:tcPr>
          <w:p w14:paraId="35EF4B31">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按下列程序进行开标：</w:t>
            </w:r>
          </w:p>
          <w:p w14:paraId="5D412173">
            <w:pPr>
              <w:keepNext w:val="0"/>
              <w:keepLines w:val="0"/>
              <w:pageBreakBefore w:val="0"/>
              <w:numPr>
                <w:ilvl w:val="0"/>
                <w:numId w:val="0"/>
              </w:numPr>
              <w:kinsoku/>
              <w:wordWrap/>
              <w:overflowPunct/>
              <w:bidi w:val="0"/>
              <w:spacing w:before="143" w:beforeLines="50" w:after="143" w:afterLines="50" w:line="240" w:lineRule="auto"/>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1、等待开标：各交易主体登录不见面开标大厅等待开标。</w:t>
            </w:r>
          </w:p>
          <w:p w14:paraId="46F63D43">
            <w:pPr>
              <w:keepNext w:val="0"/>
              <w:keepLines w:val="0"/>
              <w:pageBreakBefore w:val="0"/>
              <w:numPr>
                <w:ilvl w:val="0"/>
                <w:numId w:val="0"/>
              </w:numPr>
              <w:kinsoku/>
              <w:wordWrap/>
              <w:overflowPunct/>
              <w:bidi w:val="0"/>
              <w:spacing w:before="143" w:beforeLines="50" w:after="143" w:afterLines="50" w:line="240" w:lineRule="auto"/>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2、查看投标人：</w:t>
            </w:r>
            <w:r>
              <w:rPr>
                <w:rFonts w:hint="eastAsia" w:ascii="宋体" w:hAnsi="宋体" w:eastAsia="宋体" w:cs="宋体"/>
                <w:color w:val="000000"/>
                <w:sz w:val="21"/>
                <w:szCs w:val="21"/>
              </w:rPr>
              <w:t>开标时间（与投标截止时间一致）</w:t>
            </w:r>
            <w:r>
              <w:rPr>
                <w:rFonts w:hint="eastAsia" w:ascii="宋体" w:hAnsi="宋体" w:eastAsia="宋体" w:cs="宋体"/>
                <w:color w:val="000000"/>
                <w:sz w:val="21"/>
                <w:szCs w:val="21"/>
                <w:lang w:val="en-US" w:eastAsia="zh-CN"/>
              </w:rPr>
              <w:t>已到</w:t>
            </w:r>
            <w:r>
              <w:rPr>
                <w:rFonts w:hint="eastAsia" w:ascii="宋体" w:hAnsi="宋体" w:eastAsia="宋体" w:cs="宋体"/>
                <w:color w:val="000000"/>
                <w:sz w:val="21"/>
                <w:szCs w:val="21"/>
              </w:rPr>
              <w:t>，</w:t>
            </w:r>
            <w:r>
              <w:rPr>
                <w:rFonts w:hint="eastAsia" w:ascii="宋体" w:hAnsi="宋体" w:eastAsia="宋体" w:cs="宋体"/>
                <w:color w:val="000000"/>
                <w:sz w:val="21"/>
                <w:szCs w:val="21"/>
                <w:lang w:val="en-US" w:eastAsia="zh-CN"/>
              </w:rPr>
              <w:t>开标大厅</w:t>
            </w:r>
            <w:r>
              <w:rPr>
                <w:rFonts w:hint="eastAsia" w:ascii="宋体" w:hAnsi="宋体" w:eastAsia="宋体" w:cs="宋体"/>
                <w:color w:val="000000"/>
                <w:sz w:val="21"/>
                <w:szCs w:val="21"/>
              </w:rPr>
              <w:t>自动提取所有在投标截止时间前成功投递的投标文件。公布投标人名单。</w:t>
            </w:r>
          </w:p>
          <w:p w14:paraId="36C8D5B8">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3、标书解密：按照</w:t>
            </w:r>
            <w:r>
              <w:rPr>
                <w:rFonts w:hint="eastAsia" w:ascii="宋体" w:hAnsi="宋体" w:eastAsia="宋体" w:cs="宋体"/>
                <w:color w:val="000000"/>
                <w:sz w:val="21"/>
                <w:szCs w:val="21"/>
              </w:rPr>
              <w:t>系统提示</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投标人在招标文件规定的时间内自行解密其经加密的电子投标文件。</w:t>
            </w:r>
          </w:p>
          <w:p w14:paraId="1860C256">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在规定的时间内未成功解密的投标文件处理方式：</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1</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因</w:t>
            </w:r>
            <w:r>
              <w:rPr>
                <w:rFonts w:hint="eastAsia" w:ascii="宋体" w:hAnsi="宋体" w:eastAsia="宋体" w:cs="宋体"/>
                <w:color w:val="000000"/>
                <w:sz w:val="21"/>
                <w:szCs w:val="21"/>
                <w:lang w:val="en-US" w:eastAsia="zh-CN"/>
              </w:rPr>
              <w:t>不见面开标大厅</w:t>
            </w:r>
            <w:r>
              <w:rPr>
                <w:rFonts w:hint="eastAsia" w:ascii="宋体" w:hAnsi="宋体" w:eastAsia="宋体" w:cs="宋体"/>
                <w:color w:val="000000"/>
                <w:sz w:val="21"/>
                <w:szCs w:val="21"/>
              </w:rPr>
              <w:t>等原因影响解密进程时，招标人可根据现场投标情况延长解密时间；</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2</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因投标人原因未完成解密工作的，视为撤销其投标文件。</w:t>
            </w:r>
          </w:p>
          <w:p w14:paraId="37814859">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（3）其他解密异常情况按照应急处理办法执行；</w:t>
            </w:r>
          </w:p>
          <w:p w14:paraId="2A6E1205">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4、标书导入：</w:t>
            </w:r>
            <w:r>
              <w:rPr>
                <w:rFonts w:hint="eastAsia" w:ascii="宋体" w:hAnsi="宋体" w:eastAsia="宋体" w:cs="宋体"/>
                <w:color w:val="000000"/>
                <w:sz w:val="21"/>
                <w:szCs w:val="21"/>
              </w:rPr>
              <w:t>解密全部完成或招标文件规定的解密时间截止后，进入</w:t>
            </w:r>
            <w:r>
              <w:rPr>
                <w:rFonts w:hint="eastAsia" w:ascii="宋体" w:hAnsi="宋体" w:eastAsia="宋体" w:cs="宋体"/>
                <w:color w:val="000000"/>
                <w:sz w:val="21"/>
                <w:szCs w:val="21"/>
                <w:lang w:val="en-US" w:eastAsia="zh-CN"/>
              </w:rPr>
              <w:t>标书导入</w:t>
            </w:r>
            <w:r>
              <w:rPr>
                <w:rFonts w:hint="eastAsia" w:ascii="宋体" w:hAnsi="宋体" w:eastAsia="宋体" w:cs="宋体"/>
                <w:color w:val="000000"/>
                <w:sz w:val="21"/>
                <w:szCs w:val="21"/>
              </w:rPr>
              <w:t>环节。</w:t>
            </w:r>
            <w:r>
              <w:rPr>
                <w:rFonts w:hint="eastAsia" w:ascii="宋体" w:hAnsi="宋体" w:eastAsia="宋体" w:cs="宋体"/>
                <w:color w:val="000000"/>
                <w:sz w:val="21"/>
                <w:szCs w:val="21"/>
                <w:lang w:val="en-US" w:eastAsia="zh-CN"/>
              </w:rPr>
              <w:t>开标大厅</w:t>
            </w:r>
            <w:r>
              <w:rPr>
                <w:rFonts w:hint="eastAsia" w:ascii="宋体" w:hAnsi="宋体" w:eastAsia="宋体" w:cs="宋体"/>
                <w:color w:val="000000"/>
                <w:sz w:val="21"/>
                <w:szCs w:val="21"/>
              </w:rPr>
              <w:t>展示最终解密结果，公布成功解密投标人名单，并备注投标文件未成功解密的原因（若有）。</w:t>
            </w:r>
          </w:p>
          <w:p w14:paraId="2FC9E701">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5. </w:t>
            </w:r>
            <w:r>
              <w:rPr>
                <w:rFonts w:hint="eastAsia" w:ascii="宋体" w:hAnsi="宋体" w:eastAsia="宋体" w:cs="宋体"/>
                <w:color w:val="000000"/>
                <w:sz w:val="21"/>
                <w:szCs w:val="21"/>
                <w:lang w:val="en-US" w:eastAsia="zh-CN"/>
              </w:rPr>
              <w:t>唱标：</w:t>
            </w:r>
            <w:r>
              <w:rPr>
                <w:rFonts w:hint="eastAsia" w:ascii="宋体" w:hAnsi="宋体" w:eastAsia="宋体" w:cs="宋体"/>
                <w:color w:val="000000"/>
                <w:sz w:val="21"/>
                <w:szCs w:val="21"/>
              </w:rPr>
              <w:t>公布投标人名称、投标报价、质量目标、工期及其他内容。</w:t>
            </w:r>
          </w:p>
          <w:p w14:paraId="7F57A809">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6</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系数抽取：抽取本次开标需要的系数（如有）</w:t>
            </w:r>
            <w:r>
              <w:rPr>
                <w:rFonts w:hint="eastAsia" w:ascii="宋体" w:hAnsi="宋体" w:eastAsia="宋体" w:cs="宋体"/>
                <w:color w:val="000000"/>
                <w:sz w:val="21"/>
                <w:szCs w:val="21"/>
              </w:rPr>
              <w:t>。</w:t>
            </w:r>
          </w:p>
          <w:p w14:paraId="188036D5">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7</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投标人对开标有异议的，应在</w:t>
            </w:r>
            <w:r>
              <w:rPr>
                <w:rFonts w:hint="eastAsia" w:ascii="宋体" w:hAnsi="宋体" w:eastAsia="宋体" w:cs="宋体"/>
                <w:color w:val="000000"/>
                <w:sz w:val="21"/>
                <w:szCs w:val="21"/>
                <w:lang w:val="en-US" w:eastAsia="zh-CN"/>
              </w:rPr>
              <w:t>开标期间在</w:t>
            </w:r>
            <w:r>
              <w:rPr>
                <w:rFonts w:hint="eastAsia" w:ascii="宋体" w:hAnsi="宋体" w:eastAsia="宋体" w:cs="宋体"/>
                <w:color w:val="000000"/>
                <w:sz w:val="21"/>
                <w:szCs w:val="21"/>
              </w:rPr>
              <w:t>线提出，由招标人或代理机构在线答复。</w:t>
            </w:r>
          </w:p>
          <w:p w14:paraId="424A7E29">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8、</w:t>
            </w:r>
            <w:r>
              <w:rPr>
                <w:rFonts w:hint="eastAsia" w:ascii="宋体" w:hAnsi="宋体" w:eastAsia="宋体" w:cs="宋体"/>
                <w:color w:val="000000"/>
                <w:sz w:val="21"/>
                <w:szCs w:val="21"/>
              </w:rPr>
              <w:t>开标结束。</w:t>
            </w:r>
          </w:p>
        </w:tc>
      </w:tr>
      <w:tr w14:paraId="26C23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1165" w:type="dxa"/>
            <w:vAlign w:val="center"/>
          </w:tcPr>
          <w:p w14:paraId="566F7247">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6.1.1</w:t>
            </w:r>
          </w:p>
        </w:tc>
        <w:tc>
          <w:tcPr>
            <w:tcW w:w="2641" w:type="dxa"/>
            <w:vAlign w:val="center"/>
          </w:tcPr>
          <w:p w14:paraId="3BBD781D">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评标委员会的组建</w:t>
            </w:r>
          </w:p>
        </w:tc>
        <w:tc>
          <w:tcPr>
            <w:tcW w:w="5516" w:type="dxa"/>
            <w:vAlign w:val="center"/>
          </w:tcPr>
          <w:p w14:paraId="079BEF91">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u w:val="single"/>
              </w:rPr>
            </w:pPr>
            <w:r>
              <w:rPr>
                <w:rFonts w:hint="eastAsia" w:ascii="宋体" w:hAnsi="宋体" w:eastAsia="宋体" w:cs="宋体"/>
                <w:color w:val="000000"/>
                <w:sz w:val="21"/>
                <w:szCs w:val="21"/>
              </w:rPr>
              <w:t>评标委员会构成：</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人，其中招标人代表</w:t>
            </w:r>
            <w:r>
              <w:rPr>
                <w:rFonts w:hint="eastAsia" w:ascii="宋体" w:hAnsi="宋体" w:eastAsia="宋体" w:cs="宋体"/>
                <w:color w:val="000000"/>
                <w:sz w:val="21"/>
                <w:szCs w:val="21"/>
                <w:u w:val="single"/>
              </w:rPr>
              <w:t xml:space="preserve">       </w:t>
            </w:r>
          </w:p>
          <w:p w14:paraId="0C4ED196">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人，专家</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人；</w:t>
            </w:r>
          </w:p>
          <w:p w14:paraId="3570A9F5">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b/>
                <w:bCs/>
                <w:color w:val="000000"/>
                <w:sz w:val="21"/>
                <w:szCs w:val="21"/>
                <w:lang w:eastAsia="zh-CN"/>
              </w:rPr>
            </w:pPr>
            <w:r>
              <w:rPr>
                <w:rFonts w:hint="eastAsia" w:ascii="宋体" w:hAnsi="宋体" w:eastAsia="宋体" w:cs="宋体"/>
                <w:b/>
                <w:bCs/>
                <w:color w:val="000000"/>
                <w:sz w:val="21"/>
                <w:szCs w:val="21"/>
              </w:rPr>
              <w:t>评标专家确定方式</w:t>
            </w:r>
            <w:r>
              <w:rPr>
                <w:rFonts w:hint="eastAsia" w:ascii="宋体" w:hAnsi="宋体" w:eastAsia="宋体" w:cs="宋体"/>
                <w:b/>
                <w:bCs/>
                <w:color w:val="000000"/>
                <w:sz w:val="21"/>
                <w:szCs w:val="21"/>
                <w:lang w:eastAsia="zh-CN"/>
              </w:rPr>
              <w:t>：由招标人代表和</w:t>
            </w:r>
            <w:r>
              <w:rPr>
                <w:rFonts w:hint="eastAsia" w:ascii="宋体" w:hAnsi="宋体" w:eastAsia="宋体" w:cs="宋体"/>
                <w:b/>
                <w:bCs/>
                <w:color w:val="000000"/>
                <w:sz w:val="21"/>
                <w:szCs w:val="21"/>
                <w:lang w:val="en-US" w:eastAsia="zh-CN"/>
              </w:rPr>
              <w:t>内蒙古自治区综合评标评审专家库</w:t>
            </w:r>
            <w:r>
              <w:rPr>
                <w:rFonts w:hint="eastAsia" w:ascii="宋体" w:hAnsi="宋体" w:eastAsia="宋体" w:cs="宋体"/>
                <w:b/>
                <w:bCs/>
                <w:color w:val="000000"/>
                <w:sz w:val="21"/>
                <w:szCs w:val="21"/>
                <w:lang w:eastAsia="zh-CN"/>
              </w:rPr>
              <w:t>随机抽取的经济、技术专家组成。其中经济、技术方面的专家不得少于成员总数的三分之二。</w:t>
            </w:r>
          </w:p>
          <w:p w14:paraId="34AB9FA2">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b/>
                <w:bCs/>
                <w:color w:val="000000"/>
                <w:sz w:val="21"/>
                <w:szCs w:val="21"/>
                <w:lang w:eastAsia="zh-CN"/>
              </w:rPr>
            </w:pPr>
            <w:r>
              <w:rPr>
                <w:rFonts w:hint="eastAsia" w:ascii="宋体" w:hAnsi="宋体" w:eastAsia="宋体" w:cs="宋体"/>
                <w:b/>
                <w:bCs/>
                <w:color w:val="000000"/>
                <w:sz w:val="21"/>
                <w:szCs w:val="21"/>
                <w:lang w:val="en-US" w:eastAsia="zh-CN"/>
              </w:rPr>
              <w:t>如项目使用远程异地评标，副场专家通过副场专家库抽取。</w:t>
            </w:r>
          </w:p>
        </w:tc>
      </w:tr>
      <w:tr w14:paraId="33BBD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1165" w:type="dxa"/>
            <w:vAlign w:val="center"/>
          </w:tcPr>
          <w:p w14:paraId="0C05E754">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6.3.2</w:t>
            </w:r>
          </w:p>
        </w:tc>
        <w:tc>
          <w:tcPr>
            <w:tcW w:w="2641" w:type="dxa"/>
            <w:vAlign w:val="center"/>
          </w:tcPr>
          <w:p w14:paraId="282B81AF">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评标委员会推荐中标候选人的人数</w:t>
            </w:r>
          </w:p>
        </w:tc>
        <w:tc>
          <w:tcPr>
            <w:tcW w:w="5516" w:type="dxa"/>
            <w:vAlign w:val="center"/>
          </w:tcPr>
          <w:p w14:paraId="781D9F62">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推荐</w:t>
            </w:r>
            <w:r>
              <w:rPr>
                <w:rFonts w:hint="eastAsia" w:ascii="宋体" w:hAnsi="宋体" w:eastAsia="宋体" w:cs="宋体"/>
                <w:color w:val="000000"/>
                <w:sz w:val="21"/>
                <w:szCs w:val="21"/>
                <w:lang w:eastAsia="zh-CN"/>
              </w:rPr>
              <w:t>中标候选人</w:t>
            </w:r>
            <w:r>
              <w:rPr>
                <w:rFonts w:hint="eastAsia" w:ascii="宋体" w:hAnsi="宋体" w:eastAsia="宋体" w:cs="宋体"/>
                <w:color w:val="000000"/>
                <w:sz w:val="21"/>
                <w:szCs w:val="21"/>
              </w:rPr>
              <w:t>具体数量</w:t>
            </w:r>
            <w:r>
              <w:rPr>
                <w:rFonts w:hint="eastAsia" w:ascii="宋体" w:hAnsi="宋体" w:eastAsia="宋体" w:cs="宋体"/>
                <w:color w:val="000000"/>
                <w:sz w:val="21"/>
                <w:szCs w:val="21"/>
                <w:lang w:val="en-US" w:eastAsia="zh-CN"/>
              </w:rPr>
              <w:t>为</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lang w:val="en-US" w:eastAsia="zh-CN"/>
              </w:rPr>
              <w:t>名</w:t>
            </w:r>
          </w:p>
        </w:tc>
      </w:tr>
      <w:tr w14:paraId="42888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1165" w:type="dxa"/>
            <w:vAlign w:val="center"/>
          </w:tcPr>
          <w:p w14:paraId="12303BE8">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7</w:t>
            </w:r>
            <w:r>
              <w:rPr>
                <w:rFonts w:hint="eastAsia" w:ascii="宋体" w:hAnsi="宋体" w:eastAsia="宋体" w:cs="宋体"/>
                <w:color w:val="000000"/>
                <w:sz w:val="21"/>
                <w:szCs w:val="21"/>
              </w:rPr>
              <w:t>.</w:t>
            </w:r>
            <w:r>
              <w:rPr>
                <w:rFonts w:hint="eastAsia" w:ascii="宋体" w:hAnsi="宋体" w:eastAsia="宋体" w:cs="宋体"/>
                <w:color w:val="000000"/>
                <w:sz w:val="21"/>
                <w:szCs w:val="21"/>
                <w:lang w:val="en-US" w:eastAsia="zh-CN"/>
              </w:rPr>
              <w:t>5</w:t>
            </w:r>
            <w:r>
              <w:rPr>
                <w:rFonts w:hint="eastAsia" w:ascii="宋体" w:hAnsi="宋体" w:eastAsia="宋体" w:cs="宋体"/>
                <w:sz w:val="21"/>
                <w:szCs w:val="21"/>
              </w:rPr>
              <w:t>.</w:t>
            </w:r>
            <w:r>
              <w:rPr>
                <w:rFonts w:hint="eastAsia" w:ascii="宋体" w:hAnsi="宋体" w:eastAsia="宋体" w:cs="宋体"/>
                <w:color w:val="000000"/>
                <w:sz w:val="21"/>
                <w:szCs w:val="21"/>
              </w:rPr>
              <w:t>1</w:t>
            </w:r>
          </w:p>
        </w:tc>
        <w:tc>
          <w:tcPr>
            <w:tcW w:w="2641" w:type="dxa"/>
            <w:vAlign w:val="center"/>
          </w:tcPr>
          <w:p w14:paraId="62459504">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sz w:val="21"/>
                <w:szCs w:val="21"/>
              </w:rPr>
              <w:t>履约保证金</w:t>
            </w:r>
          </w:p>
        </w:tc>
        <w:tc>
          <w:tcPr>
            <w:tcW w:w="5516" w:type="dxa"/>
            <w:vAlign w:val="center"/>
          </w:tcPr>
          <w:p w14:paraId="09B7A029">
            <w:pPr>
              <w:pStyle w:val="9"/>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sz w:val="21"/>
                <w:szCs w:val="21"/>
              </w:rPr>
            </w:pPr>
            <w:r>
              <w:rPr>
                <w:rFonts w:hint="eastAsia" w:ascii="宋体" w:hAnsi="宋体" w:eastAsia="宋体" w:cs="宋体"/>
                <w:sz w:val="21"/>
                <w:szCs w:val="21"/>
              </w:rPr>
              <w:t>是否要求中标人提交履约保证金：</w:t>
            </w:r>
          </w:p>
          <w:p w14:paraId="0F07CDD2">
            <w:pPr>
              <w:pStyle w:val="9"/>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sz w:val="21"/>
                <w:szCs w:val="21"/>
              </w:rPr>
            </w:pPr>
            <w:r>
              <w:rPr>
                <w:rFonts w:hint="eastAsia" w:ascii="宋体" w:hAnsi="宋体" w:eastAsia="宋体" w:cs="宋体"/>
                <w:color w:val="000000"/>
                <w:sz w:val="21"/>
                <w:szCs w:val="21"/>
              </w:rPr>
              <w:t>□</w:t>
            </w:r>
            <w:r>
              <w:rPr>
                <w:rFonts w:hint="eastAsia" w:ascii="宋体" w:hAnsi="宋体" w:eastAsia="宋体" w:cs="宋体"/>
                <w:sz w:val="21"/>
                <w:szCs w:val="21"/>
              </w:rPr>
              <w:t>要求，履约保证金的形式：</w:t>
            </w:r>
          </w:p>
          <w:p w14:paraId="7854594F">
            <w:pPr>
              <w:keepNext w:val="0"/>
              <w:keepLines w:val="0"/>
              <w:pageBreakBefore w:val="0"/>
              <w:kinsoku/>
              <w:wordWrap/>
              <w:overflowPunct/>
              <w:bidi w:val="0"/>
              <w:spacing w:before="143" w:beforeLines="50" w:after="143" w:afterLines="50" w:line="240" w:lineRule="auto"/>
              <w:ind w:firstLine="840" w:firstLineChars="400"/>
              <w:textAlignment w:val="auto"/>
              <w:rPr>
                <w:rFonts w:hint="eastAsia" w:ascii="宋体" w:hAnsi="宋体" w:eastAsia="宋体" w:cs="宋体"/>
                <w:sz w:val="21"/>
                <w:szCs w:val="21"/>
              </w:rPr>
            </w:pPr>
            <w:r>
              <w:rPr>
                <w:rFonts w:hint="eastAsia" w:ascii="宋体" w:hAnsi="宋体" w:eastAsia="宋体" w:cs="宋体"/>
                <w:sz w:val="21"/>
                <w:szCs w:val="21"/>
              </w:rPr>
              <w:t>履约保证金的金额：</w:t>
            </w:r>
          </w:p>
          <w:p w14:paraId="4038D207">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sz w:val="21"/>
                <w:szCs w:val="21"/>
              </w:rPr>
            </w:pPr>
            <w:r>
              <w:rPr>
                <w:rFonts w:hint="eastAsia" w:ascii="宋体" w:hAnsi="宋体" w:eastAsia="宋体" w:cs="宋体"/>
                <w:color w:val="000000"/>
                <w:sz w:val="21"/>
                <w:szCs w:val="21"/>
              </w:rPr>
              <w:t>□</w:t>
            </w:r>
            <w:r>
              <w:rPr>
                <w:rFonts w:hint="eastAsia" w:ascii="宋体" w:hAnsi="宋体" w:eastAsia="宋体" w:cs="宋体"/>
                <w:sz w:val="21"/>
                <w:szCs w:val="21"/>
              </w:rPr>
              <w:t>不要求</w:t>
            </w:r>
          </w:p>
        </w:tc>
      </w:tr>
      <w:tr w14:paraId="025BE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1165" w:type="dxa"/>
            <w:vAlign w:val="center"/>
          </w:tcPr>
          <w:p w14:paraId="2452EC21">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9</w:t>
            </w:r>
          </w:p>
        </w:tc>
        <w:tc>
          <w:tcPr>
            <w:tcW w:w="2641" w:type="dxa"/>
            <w:vAlign w:val="center"/>
          </w:tcPr>
          <w:p w14:paraId="625C9B01">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是否采用电子招标投标</w:t>
            </w:r>
          </w:p>
        </w:tc>
        <w:tc>
          <w:tcPr>
            <w:tcW w:w="5516" w:type="dxa"/>
            <w:vAlign w:val="center"/>
          </w:tcPr>
          <w:p w14:paraId="0708D148">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sz w:val="21"/>
                <w:szCs w:val="21"/>
              </w:rPr>
              <w:t>是</w:t>
            </w:r>
          </w:p>
        </w:tc>
      </w:tr>
      <w:tr w14:paraId="4DE66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1165" w:type="dxa"/>
            <w:vAlign w:val="center"/>
          </w:tcPr>
          <w:p w14:paraId="565A47C3">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10.1</w:t>
            </w:r>
          </w:p>
        </w:tc>
        <w:tc>
          <w:tcPr>
            <w:tcW w:w="2641" w:type="dxa"/>
            <w:vAlign w:val="center"/>
          </w:tcPr>
          <w:p w14:paraId="4F8A7E68">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异常低价甄别</w:t>
            </w:r>
          </w:p>
        </w:tc>
        <w:tc>
          <w:tcPr>
            <w:tcW w:w="5516" w:type="dxa"/>
            <w:vAlign w:val="center"/>
          </w:tcPr>
          <w:p w14:paraId="21599463">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cs="宋体"/>
                <w:szCs w:val="21"/>
              </w:rPr>
              <w:t>当投标人投标报价低于最高投标限价80%，且可能低于该投标人个人成本影响履约的，投标人应当作出必要的澄清、说明，包括但不限于投标报价合理性、主要材料设备价格和人工费用等内容及相关证明材料；投标人不能合理说明或者不能提供相关证明材料的，评标委员会可以认定该投标报价低于成本。（仅适用于房建市政类项目）</w:t>
            </w:r>
          </w:p>
        </w:tc>
      </w:tr>
      <w:tr w14:paraId="27A13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1165" w:type="dxa"/>
            <w:vAlign w:val="center"/>
          </w:tcPr>
          <w:p w14:paraId="61823A10">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rPr>
              <w:t>1</w:t>
            </w:r>
            <w:r>
              <w:rPr>
                <w:rFonts w:hint="eastAsia" w:ascii="宋体" w:hAnsi="宋体" w:eastAsia="宋体" w:cs="宋体"/>
                <w:color w:val="000000"/>
                <w:sz w:val="21"/>
                <w:szCs w:val="21"/>
                <w:lang w:val="en-US" w:eastAsia="zh-CN"/>
              </w:rPr>
              <w:t>0.2</w:t>
            </w:r>
          </w:p>
        </w:tc>
        <w:tc>
          <w:tcPr>
            <w:tcW w:w="2641" w:type="dxa"/>
            <w:vAlign w:val="center"/>
          </w:tcPr>
          <w:p w14:paraId="28591638">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需要补充的其他内容</w:t>
            </w:r>
          </w:p>
        </w:tc>
        <w:tc>
          <w:tcPr>
            <w:tcW w:w="5516" w:type="dxa"/>
            <w:vAlign w:val="center"/>
          </w:tcPr>
          <w:p w14:paraId="01435888">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p>
        </w:tc>
      </w:tr>
    </w:tbl>
    <w:p w14:paraId="49D14BB2">
      <w:pPr>
        <w:spacing w:line="400" w:lineRule="exact"/>
        <w:rPr>
          <w:rFonts w:ascii="Times New Roman" w:hAnsi="Times New Roman"/>
          <w:color w:val="000000"/>
        </w:rPr>
      </w:pPr>
      <w:r>
        <w:rPr>
          <w:rFonts w:ascii="Times New Roman" w:hAnsi="Times New Roman"/>
          <w:color w:val="000000"/>
        </w:rPr>
        <w:br w:type="page"/>
      </w:r>
    </w:p>
    <w:p w14:paraId="13FA90AB">
      <w:pPr>
        <w:pStyle w:val="3"/>
        <w:rPr>
          <w:rFonts w:ascii="Times New Roman" w:hAnsi="Times New Roman"/>
          <w:color w:val="000000"/>
        </w:rPr>
      </w:pPr>
      <w:bookmarkStart w:id="13" w:name="_Toc31376"/>
      <w:r>
        <w:rPr>
          <w:rFonts w:ascii="Times New Roman" w:hAnsi="Times New Roman"/>
          <w:color w:val="000000"/>
        </w:rPr>
        <w:t>1. 总则</w:t>
      </w:r>
      <w:bookmarkEnd w:id="13"/>
    </w:p>
    <w:p w14:paraId="10FBE4B7">
      <w:pPr>
        <w:pStyle w:val="4"/>
        <w:spacing w:line="240" w:lineRule="auto"/>
        <w:ind w:firstLine="137"/>
        <w:rPr>
          <w:rFonts w:ascii="Times New Roman" w:hAnsi="Times New Roman"/>
          <w:color w:val="000000"/>
        </w:rPr>
      </w:pPr>
      <w:bookmarkStart w:id="14" w:name="_Toc6675"/>
      <w:r>
        <w:rPr>
          <w:rFonts w:ascii="Times New Roman" w:hAnsi="Times New Roman"/>
          <w:color w:val="000000"/>
        </w:rPr>
        <w:t>1.1 招标项目概况</w:t>
      </w:r>
      <w:bookmarkEnd w:id="14"/>
    </w:p>
    <w:p w14:paraId="6307931F">
      <w:pPr>
        <w:spacing w:line="400" w:lineRule="exact"/>
        <w:ind w:firstLine="420" w:firstLineChars="200"/>
        <w:rPr>
          <w:rFonts w:ascii="Times New Roman" w:hAnsi="Times New Roman"/>
          <w:color w:val="000000"/>
        </w:rPr>
      </w:pPr>
      <w:r>
        <w:rPr>
          <w:rFonts w:ascii="Times New Roman" w:hAnsi="Times New Roman"/>
          <w:color w:val="000000"/>
        </w:rPr>
        <w:t>1.1.1根据《中华人民共和国招标投标法》、《中华人民共和国招标投标法实施条例》等有关法律、法规和规章的规定，本招标项目已具备招标条件，现对材料采购进行招标。</w:t>
      </w:r>
    </w:p>
    <w:p w14:paraId="01AA285B">
      <w:pPr>
        <w:spacing w:line="400" w:lineRule="exact"/>
        <w:ind w:firstLine="420" w:firstLineChars="200"/>
        <w:rPr>
          <w:rFonts w:ascii="Times New Roman" w:hAnsi="Times New Roman"/>
          <w:color w:val="000000"/>
        </w:rPr>
      </w:pPr>
      <w:r>
        <w:rPr>
          <w:rFonts w:ascii="Times New Roman" w:hAnsi="Times New Roman"/>
          <w:color w:val="000000"/>
        </w:rPr>
        <w:t>1.1.2 招标人：见投标人须知前附表。</w:t>
      </w:r>
    </w:p>
    <w:p w14:paraId="273258C8">
      <w:pPr>
        <w:spacing w:line="400" w:lineRule="exact"/>
        <w:ind w:firstLine="420" w:firstLineChars="200"/>
        <w:rPr>
          <w:rFonts w:ascii="Times New Roman" w:hAnsi="Times New Roman"/>
          <w:color w:val="000000"/>
        </w:rPr>
      </w:pPr>
      <w:r>
        <w:rPr>
          <w:rFonts w:ascii="Times New Roman" w:hAnsi="Times New Roman"/>
          <w:color w:val="000000"/>
        </w:rPr>
        <w:t>1.1.3 招标代理机构：见投标人须知前附表。</w:t>
      </w:r>
    </w:p>
    <w:p w14:paraId="6A4E1A23">
      <w:pPr>
        <w:spacing w:line="400" w:lineRule="exact"/>
        <w:ind w:firstLine="420" w:firstLineChars="200"/>
        <w:rPr>
          <w:rFonts w:ascii="Times New Roman" w:hAnsi="Times New Roman"/>
          <w:color w:val="000000"/>
        </w:rPr>
      </w:pPr>
      <w:r>
        <w:rPr>
          <w:rFonts w:ascii="Times New Roman" w:hAnsi="Times New Roman"/>
          <w:color w:val="000000"/>
        </w:rPr>
        <w:t>1.1.4招标项目名称：见投标人须知前附表。</w:t>
      </w:r>
    </w:p>
    <w:p w14:paraId="2E318593">
      <w:pPr>
        <w:spacing w:line="400" w:lineRule="exact"/>
        <w:ind w:firstLine="420" w:firstLineChars="200"/>
        <w:rPr>
          <w:rFonts w:ascii="Times New Roman" w:hAnsi="Times New Roman"/>
          <w:color w:val="000000"/>
        </w:rPr>
      </w:pPr>
      <w:r>
        <w:rPr>
          <w:rFonts w:ascii="Times New Roman" w:hAnsi="Times New Roman"/>
          <w:color w:val="000000"/>
        </w:rPr>
        <w:t>1.1.5工程项目名称：即招标项目所属的工程建设项目，见投标人须知前附表。</w:t>
      </w:r>
    </w:p>
    <w:p w14:paraId="4B960EDF">
      <w:pPr>
        <w:pStyle w:val="4"/>
        <w:spacing w:line="240" w:lineRule="auto"/>
        <w:ind w:firstLine="137"/>
        <w:rPr>
          <w:rFonts w:ascii="Times New Roman" w:hAnsi="Times New Roman"/>
          <w:color w:val="000000"/>
        </w:rPr>
      </w:pPr>
      <w:bookmarkStart w:id="15" w:name="_Toc4442"/>
      <w:r>
        <w:rPr>
          <w:rFonts w:ascii="Times New Roman" w:hAnsi="Times New Roman"/>
          <w:color w:val="000000"/>
        </w:rPr>
        <w:t>1.2 招标项目的资金来源和落实情况</w:t>
      </w:r>
      <w:bookmarkEnd w:id="15"/>
    </w:p>
    <w:p w14:paraId="776D3760">
      <w:pPr>
        <w:spacing w:line="400" w:lineRule="exact"/>
        <w:ind w:firstLine="420" w:firstLineChars="200"/>
        <w:rPr>
          <w:rFonts w:ascii="Times New Roman" w:hAnsi="Times New Roman"/>
          <w:color w:val="000000"/>
        </w:rPr>
      </w:pPr>
      <w:r>
        <w:rPr>
          <w:rFonts w:ascii="Times New Roman" w:hAnsi="Times New Roman"/>
          <w:color w:val="000000"/>
        </w:rPr>
        <w:t>1.2.1 资金来源及比例：见投标人须知前附表。</w:t>
      </w:r>
    </w:p>
    <w:p w14:paraId="0A245C4C">
      <w:pPr>
        <w:spacing w:line="400" w:lineRule="exact"/>
        <w:ind w:firstLine="420" w:firstLineChars="200"/>
        <w:rPr>
          <w:rFonts w:ascii="Times New Roman" w:hAnsi="Times New Roman"/>
          <w:color w:val="000000"/>
        </w:rPr>
      </w:pPr>
      <w:r>
        <w:rPr>
          <w:rFonts w:ascii="Times New Roman" w:hAnsi="Times New Roman"/>
          <w:color w:val="000000"/>
        </w:rPr>
        <w:t>1.2.2 资金落实情况：见投标人须知前附表。</w:t>
      </w:r>
    </w:p>
    <w:p w14:paraId="29CEC5A1">
      <w:pPr>
        <w:pStyle w:val="4"/>
        <w:spacing w:line="240" w:lineRule="auto"/>
        <w:ind w:firstLine="137"/>
        <w:rPr>
          <w:rFonts w:ascii="Times New Roman" w:hAnsi="Times New Roman"/>
          <w:color w:val="000000"/>
        </w:rPr>
      </w:pPr>
      <w:bookmarkStart w:id="16" w:name="_Toc23812"/>
      <w:r>
        <w:rPr>
          <w:rFonts w:ascii="Times New Roman" w:hAnsi="Times New Roman"/>
          <w:color w:val="000000"/>
        </w:rPr>
        <w:t>1.3招标范围、交货期、交货地点和质量标准</w:t>
      </w:r>
      <w:bookmarkEnd w:id="16"/>
    </w:p>
    <w:p w14:paraId="51B52D2A">
      <w:pPr>
        <w:spacing w:line="400" w:lineRule="exact"/>
        <w:ind w:firstLine="420" w:firstLineChars="200"/>
        <w:rPr>
          <w:rFonts w:ascii="Times New Roman" w:hAnsi="Times New Roman"/>
          <w:color w:val="000000"/>
        </w:rPr>
      </w:pPr>
      <w:r>
        <w:rPr>
          <w:rFonts w:ascii="Times New Roman" w:hAnsi="Times New Roman"/>
          <w:color w:val="000000"/>
        </w:rPr>
        <w:t>1.3.1 招标范围：见投标人须知前附表。</w:t>
      </w:r>
    </w:p>
    <w:p w14:paraId="69FC86E6">
      <w:pPr>
        <w:spacing w:line="400" w:lineRule="exact"/>
        <w:ind w:firstLine="420" w:firstLineChars="200"/>
        <w:rPr>
          <w:rFonts w:ascii="Times New Roman" w:hAnsi="Times New Roman"/>
          <w:color w:val="000000"/>
        </w:rPr>
      </w:pPr>
      <w:r>
        <w:rPr>
          <w:rFonts w:ascii="Times New Roman" w:hAnsi="Times New Roman"/>
          <w:color w:val="000000"/>
        </w:rPr>
        <w:t>1.3.2 交货期：见投标人须知前附表。</w:t>
      </w:r>
    </w:p>
    <w:p w14:paraId="26D0677E">
      <w:pPr>
        <w:spacing w:line="400" w:lineRule="exact"/>
        <w:ind w:firstLine="420" w:firstLineChars="200"/>
        <w:rPr>
          <w:rFonts w:ascii="Times New Roman" w:hAnsi="Times New Roman"/>
          <w:color w:val="000000"/>
        </w:rPr>
      </w:pPr>
      <w:r>
        <w:rPr>
          <w:rFonts w:ascii="Times New Roman" w:hAnsi="Times New Roman"/>
          <w:color w:val="000000"/>
        </w:rPr>
        <w:t>1.3.3 交货地点：见投标人须知前附表。</w:t>
      </w:r>
    </w:p>
    <w:p w14:paraId="75D58476">
      <w:pPr>
        <w:spacing w:line="400" w:lineRule="exact"/>
        <w:ind w:firstLine="420" w:firstLineChars="200"/>
        <w:rPr>
          <w:rFonts w:ascii="Times New Roman" w:hAnsi="Times New Roman"/>
          <w:color w:val="000000"/>
        </w:rPr>
      </w:pPr>
      <w:r>
        <w:rPr>
          <w:rFonts w:ascii="Times New Roman" w:hAnsi="Times New Roman"/>
          <w:color w:val="000000"/>
        </w:rPr>
        <w:t>1.3.4 质量标准：见投标人须知前附表。</w:t>
      </w:r>
    </w:p>
    <w:p w14:paraId="0E7710FC">
      <w:pPr>
        <w:pStyle w:val="4"/>
        <w:spacing w:line="240" w:lineRule="auto"/>
        <w:ind w:firstLine="137"/>
        <w:rPr>
          <w:rFonts w:ascii="Times New Roman" w:hAnsi="Times New Roman"/>
          <w:color w:val="000000"/>
        </w:rPr>
      </w:pPr>
      <w:bookmarkStart w:id="17" w:name="_Toc3254"/>
      <w:r>
        <w:rPr>
          <w:rFonts w:ascii="Times New Roman" w:hAnsi="Times New Roman"/>
          <w:color w:val="000000"/>
        </w:rPr>
        <w:t>1.4投标人资格要求</w:t>
      </w:r>
      <w:bookmarkEnd w:id="17"/>
    </w:p>
    <w:p w14:paraId="6F5D113D">
      <w:pPr>
        <w:spacing w:line="400" w:lineRule="exact"/>
        <w:ind w:firstLine="420" w:firstLineChars="200"/>
        <w:rPr>
          <w:rFonts w:ascii="Times New Roman" w:hAnsi="Times New Roman"/>
        </w:rPr>
      </w:pPr>
      <w:r>
        <w:rPr>
          <w:rFonts w:ascii="Times New Roman" w:hAnsi="Times New Roman"/>
          <w:color w:val="000000"/>
        </w:rPr>
        <w:t>1.4.1</w:t>
      </w:r>
      <w:r>
        <w:rPr>
          <w:rFonts w:hint="eastAsia" w:ascii="Times New Roman" w:hAnsi="Times New Roman"/>
          <w:color w:val="000000"/>
        </w:rPr>
        <w:t xml:space="preserve"> </w:t>
      </w:r>
      <w:r>
        <w:rPr>
          <w:rFonts w:ascii="Times New Roman" w:hAnsi="Times New Roman"/>
          <w:color w:val="000000"/>
        </w:rPr>
        <w:t>投标人应具备承担本招标项目资质条件、能力和信誉</w:t>
      </w:r>
      <w:r>
        <w:rPr>
          <w:rFonts w:ascii="Times New Roman" w:hAnsi="Times New Roman"/>
        </w:rPr>
        <w:t>：</w:t>
      </w:r>
    </w:p>
    <w:p w14:paraId="54579786">
      <w:pPr>
        <w:spacing w:line="400" w:lineRule="exact"/>
        <w:ind w:firstLine="315" w:firstLineChars="150"/>
        <w:rPr>
          <w:rFonts w:ascii="Times New Roman" w:hAnsi="Times New Roman"/>
          <w:color w:val="000000"/>
        </w:rPr>
      </w:pPr>
      <w:r>
        <w:rPr>
          <w:rFonts w:ascii="Times New Roman" w:hAnsi="Times New Roman"/>
          <w:color w:val="000000"/>
        </w:rPr>
        <w:t>（1）资质要求：见投标人须知前附表；</w:t>
      </w:r>
    </w:p>
    <w:p w14:paraId="64C41615">
      <w:pPr>
        <w:spacing w:line="400" w:lineRule="exact"/>
        <w:ind w:firstLine="315" w:firstLineChars="150"/>
        <w:rPr>
          <w:rFonts w:ascii="Times New Roman" w:hAnsi="Times New Roman"/>
          <w:color w:val="000000"/>
        </w:rPr>
      </w:pPr>
      <w:r>
        <w:rPr>
          <w:rFonts w:ascii="Times New Roman" w:hAnsi="Times New Roman"/>
          <w:color w:val="000000"/>
        </w:rPr>
        <w:t>（2）</w:t>
      </w:r>
      <w:r>
        <w:rPr>
          <w:rFonts w:ascii="Times New Roman" w:hAnsi="Times New Roman"/>
        </w:rPr>
        <w:t>财务</w:t>
      </w:r>
      <w:r>
        <w:rPr>
          <w:rFonts w:ascii="Times New Roman" w:hAnsi="Times New Roman"/>
          <w:color w:val="000000"/>
        </w:rPr>
        <w:t>要求：见投标人须知前附表；</w:t>
      </w:r>
    </w:p>
    <w:p w14:paraId="0D5C9D4E">
      <w:pPr>
        <w:spacing w:line="400" w:lineRule="exact"/>
        <w:ind w:firstLine="315" w:firstLineChars="150"/>
        <w:rPr>
          <w:rFonts w:ascii="Times New Roman" w:hAnsi="Times New Roman"/>
        </w:rPr>
      </w:pPr>
      <w:r>
        <w:rPr>
          <w:rFonts w:ascii="Times New Roman" w:hAnsi="Times New Roman"/>
        </w:rPr>
        <w:t>（3）业绩要求：见投标人须知前附表；</w:t>
      </w:r>
    </w:p>
    <w:p w14:paraId="196C2AB1">
      <w:pPr>
        <w:spacing w:line="400" w:lineRule="exact"/>
        <w:ind w:firstLine="315" w:firstLineChars="150"/>
        <w:rPr>
          <w:rFonts w:ascii="Times New Roman" w:hAnsi="Times New Roman"/>
        </w:rPr>
      </w:pPr>
      <w:r>
        <w:rPr>
          <w:rFonts w:ascii="Times New Roman" w:hAnsi="Times New Roman"/>
        </w:rPr>
        <w:t>（4）信誉要求：见投标人须知前附表；</w:t>
      </w:r>
    </w:p>
    <w:p w14:paraId="261FA86E">
      <w:pPr>
        <w:spacing w:line="400" w:lineRule="exact"/>
        <w:ind w:firstLine="315" w:firstLineChars="150"/>
        <w:rPr>
          <w:rFonts w:ascii="Times New Roman" w:hAnsi="Times New Roman"/>
        </w:rPr>
      </w:pPr>
      <w:r>
        <w:rPr>
          <w:rFonts w:ascii="Times New Roman" w:hAnsi="Times New Roman"/>
        </w:rPr>
        <w:t>（5）其他要求：见投标人须知前附表</w:t>
      </w:r>
      <w:r>
        <w:rPr>
          <w:rFonts w:hint="eastAsia" w:ascii="Times New Roman" w:hAnsi="Times New Roman"/>
        </w:rPr>
        <w:t>。</w:t>
      </w:r>
    </w:p>
    <w:p w14:paraId="469233B5">
      <w:pPr>
        <w:spacing w:line="400" w:lineRule="exact"/>
        <w:ind w:firstLine="420" w:firstLineChars="200"/>
        <w:rPr>
          <w:rFonts w:ascii="Times New Roman" w:hAnsi="Times New Roman"/>
        </w:rPr>
      </w:pPr>
      <w:r>
        <w:rPr>
          <w:rFonts w:ascii="Times New Roman" w:hAnsi="Times New Roman"/>
        </w:rPr>
        <w:t>投标人为代理经销商的，对投标人的资质要求包含对制造商的资质要求，对投标人的业绩要求包含对投标材料的业绩要求。</w:t>
      </w:r>
    </w:p>
    <w:p w14:paraId="5C1B11AC">
      <w:pPr>
        <w:spacing w:line="400" w:lineRule="exact"/>
        <w:ind w:firstLine="420" w:firstLineChars="200"/>
        <w:rPr>
          <w:rFonts w:ascii="Times New Roman" w:hAnsi="Times New Roman"/>
        </w:rPr>
      </w:pPr>
      <w:r>
        <w:rPr>
          <w:rFonts w:ascii="Times New Roman" w:hAnsi="Times New Roman"/>
        </w:rPr>
        <w:t>需要提交的相关证明材料见本章第3.5款的规定。</w:t>
      </w:r>
    </w:p>
    <w:p w14:paraId="598DF6C9">
      <w:pPr>
        <w:spacing w:line="400" w:lineRule="exact"/>
        <w:ind w:firstLine="420" w:firstLineChars="200"/>
        <w:rPr>
          <w:rFonts w:ascii="Times New Roman" w:hAnsi="Times New Roman"/>
          <w:color w:val="000000"/>
        </w:rPr>
      </w:pPr>
      <w:r>
        <w:rPr>
          <w:rFonts w:ascii="Times New Roman" w:hAnsi="Times New Roman"/>
        </w:rPr>
        <w:t>1.4.2投标人须知前附表规定接受联合体投标的，</w:t>
      </w:r>
      <w:r>
        <w:rPr>
          <w:rFonts w:ascii="Times New Roman" w:hAnsi="Times New Roman"/>
          <w:color w:val="000000"/>
        </w:rPr>
        <w:t>联合体除应符合本章第1.4.1项和投标人须知前附表的要求外，还应遵守以下规定：</w:t>
      </w:r>
    </w:p>
    <w:p w14:paraId="191BFD8E">
      <w:pPr>
        <w:spacing w:line="400" w:lineRule="exact"/>
        <w:ind w:firstLine="315" w:firstLineChars="150"/>
        <w:rPr>
          <w:rFonts w:ascii="Times New Roman" w:hAnsi="Times New Roman"/>
        </w:rPr>
      </w:pPr>
      <w:r>
        <w:rPr>
          <w:rFonts w:ascii="Times New Roman" w:hAnsi="Times New Roman"/>
        </w:rPr>
        <w:t>（1）联合体各方应按招标文件提供的格式签订联合体协议书，明确联合体牵头人和各方权利义务，并承诺就中标项目向招标人承担连带责任；</w:t>
      </w:r>
    </w:p>
    <w:p w14:paraId="62080124">
      <w:pPr>
        <w:spacing w:line="400" w:lineRule="exact"/>
        <w:ind w:firstLine="315" w:firstLineChars="150"/>
        <w:rPr>
          <w:rFonts w:ascii="Times New Roman" w:hAnsi="Times New Roman"/>
        </w:rPr>
      </w:pPr>
      <w:r>
        <w:rPr>
          <w:rFonts w:ascii="Times New Roman" w:hAnsi="Times New Roman"/>
        </w:rPr>
        <w:t>（2）由同一专业的单位组成的联合体，按照资质等级较低的单位确定资质等级；</w:t>
      </w:r>
    </w:p>
    <w:p w14:paraId="576BEEFB">
      <w:pPr>
        <w:spacing w:line="400" w:lineRule="exact"/>
        <w:ind w:firstLine="315" w:firstLineChars="150"/>
        <w:rPr>
          <w:rFonts w:ascii="Times New Roman" w:hAnsi="Times New Roman"/>
        </w:rPr>
      </w:pPr>
      <w:r>
        <w:rPr>
          <w:rFonts w:ascii="Times New Roman" w:hAnsi="Times New Roman"/>
        </w:rPr>
        <w:t>（3）联合体各方不得再以自己名义单独或参加其他联合体在本招标项目中投标，否则各相关投标均无效。</w:t>
      </w:r>
    </w:p>
    <w:p w14:paraId="2A1289A3">
      <w:pPr>
        <w:spacing w:line="400" w:lineRule="exact"/>
        <w:ind w:firstLine="420" w:firstLineChars="200"/>
        <w:rPr>
          <w:rFonts w:ascii="Times New Roman" w:hAnsi="Times New Roman"/>
          <w:color w:val="000000"/>
          <w:szCs w:val="21"/>
        </w:rPr>
      </w:pPr>
      <w:r>
        <w:rPr>
          <w:rFonts w:ascii="Times New Roman" w:hAnsi="Times New Roman"/>
          <w:color w:val="000000"/>
          <w:szCs w:val="21"/>
        </w:rPr>
        <w:t>1.4.3 投标人不得存在下列情形之一：</w:t>
      </w:r>
    </w:p>
    <w:p w14:paraId="44F54A6F">
      <w:pPr>
        <w:spacing w:line="400" w:lineRule="exact"/>
        <w:ind w:firstLine="420" w:firstLineChars="200"/>
        <w:rPr>
          <w:rFonts w:hint="eastAsia" w:ascii="Times New Roman" w:hAnsi="Times New Roman"/>
        </w:rPr>
      </w:pPr>
      <w:r>
        <w:rPr>
          <w:rFonts w:hint="eastAsia" w:ascii="Times New Roman" w:hAnsi="Times New Roman"/>
        </w:rPr>
        <w:t>（1）为招标人不具有独立法人资格的附属机构（单位）；</w:t>
      </w:r>
    </w:p>
    <w:p w14:paraId="1018E08A">
      <w:pPr>
        <w:spacing w:line="400" w:lineRule="exact"/>
        <w:ind w:firstLine="420" w:firstLineChars="200"/>
        <w:rPr>
          <w:rFonts w:hint="eastAsia" w:ascii="Times New Roman" w:hAnsi="Times New Roman"/>
        </w:rPr>
      </w:pPr>
      <w:r>
        <w:rPr>
          <w:rFonts w:hint="eastAsia" w:ascii="Times New Roman" w:hAnsi="Times New Roman"/>
        </w:rPr>
        <w:t>（2）与招标人存在利害关系且可能影响招标公正性；</w:t>
      </w:r>
    </w:p>
    <w:p w14:paraId="3986BC48">
      <w:pPr>
        <w:spacing w:line="400" w:lineRule="exact"/>
        <w:ind w:firstLine="420" w:firstLineChars="200"/>
        <w:rPr>
          <w:rFonts w:hint="eastAsia" w:ascii="Times New Roman" w:hAnsi="Times New Roman"/>
        </w:rPr>
      </w:pPr>
      <w:r>
        <w:rPr>
          <w:rFonts w:hint="eastAsia" w:ascii="Times New Roman" w:hAnsi="Times New Roman"/>
        </w:rPr>
        <w:t>（3）与本招标项目的其他投标人为同一个单位负责人；</w:t>
      </w:r>
    </w:p>
    <w:p w14:paraId="041661EE">
      <w:pPr>
        <w:spacing w:line="400" w:lineRule="exact"/>
        <w:ind w:firstLine="420" w:firstLineChars="200"/>
        <w:rPr>
          <w:rFonts w:hint="eastAsia" w:ascii="Times New Roman" w:hAnsi="Times New Roman"/>
        </w:rPr>
      </w:pPr>
      <w:r>
        <w:rPr>
          <w:rFonts w:hint="eastAsia" w:ascii="Times New Roman" w:hAnsi="Times New Roman"/>
        </w:rPr>
        <w:t>（4）与本招标项目的其他投标人存在控股、管理关系；</w:t>
      </w:r>
    </w:p>
    <w:p w14:paraId="1645A3D1">
      <w:pPr>
        <w:spacing w:line="400" w:lineRule="exact"/>
        <w:ind w:firstLine="420" w:firstLineChars="200"/>
        <w:rPr>
          <w:rFonts w:hint="eastAsia" w:ascii="Times New Roman" w:hAnsi="Times New Roman"/>
        </w:rPr>
      </w:pPr>
      <w:r>
        <w:rPr>
          <w:rFonts w:hint="eastAsia" w:ascii="Times New Roman" w:hAnsi="Times New Roman"/>
        </w:rPr>
        <w:t>（5）为本招标项目的代建人；</w:t>
      </w:r>
    </w:p>
    <w:p w14:paraId="16B1720C">
      <w:pPr>
        <w:spacing w:line="400" w:lineRule="exact"/>
        <w:ind w:firstLine="420" w:firstLineChars="200"/>
        <w:rPr>
          <w:rFonts w:hint="eastAsia" w:ascii="Times New Roman" w:hAnsi="Times New Roman"/>
        </w:rPr>
      </w:pPr>
      <w:r>
        <w:rPr>
          <w:rFonts w:hint="eastAsia" w:ascii="Times New Roman" w:hAnsi="Times New Roman"/>
        </w:rPr>
        <w:t>（6）为本招标项目的招标代理机构；</w:t>
      </w:r>
    </w:p>
    <w:p w14:paraId="1E4415EF">
      <w:pPr>
        <w:spacing w:line="400" w:lineRule="exact"/>
        <w:ind w:firstLine="420" w:firstLineChars="200"/>
        <w:rPr>
          <w:rFonts w:hint="eastAsia" w:ascii="Times New Roman" w:hAnsi="Times New Roman"/>
        </w:rPr>
      </w:pPr>
      <w:r>
        <w:rPr>
          <w:rFonts w:hint="eastAsia" w:ascii="Times New Roman" w:hAnsi="Times New Roman"/>
        </w:rPr>
        <w:t>（7）与本招标项目的代建人或招标代理机构同为一个法定代表人；</w:t>
      </w:r>
    </w:p>
    <w:p w14:paraId="3A467DAF">
      <w:pPr>
        <w:spacing w:line="400" w:lineRule="exact"/>
        <w:ind w:firstLine="420" w:firstLineChars="200"/>
        <w:rPr>
          <w:rFonts w:hint="eastAsia" w:ascii="Times New Roman" w:hAnsi="Times New Roman"/>
        </w:rPr>
      </w:pPr>
      <w:r>
        <w:rPr>
          <w:rFonts w:hint="eastAsia" w:ascii="Times New Roman" w:hAnsi="Times New Roman"/>
        </w:rPr>
        <w:t>（8）与本招标项目的代建人或招标代理机构存在控股或参股关系；</w:t>
      </w:r>
    </w:p>
    <w:p w14:paraId="7C5480BB">
      <w:pPr>
        <w:spacing w:line="400" w:lineRule="exact"/>
        <w:ind w:firstLine="420" w:firstLineChars="200"/>
        <w:rPr>
          <w:rFonts w:hint="eastAsia" w:ascii="Times New Roman" w:hAnsi="Times New Roman"/>
        </w:rPr>
      </w:pPr>
      <w:r>
        <w:rPr>
          <w:rFonts w:hint="eastAsia" w:ascii="Times New Roman" w:hAnsi="Times New Roman"/>
        </w:rPr>
        <w:t>（9）与本招标项目的施工承包人以及建筑材料、建筑构配件和设备供应商有隶属关系或者其他利害关系；</w:t>
      </w:r>
    </w:p>
    <w:p w14:paraId="2D25FAEE">
      <w:pPr>
        <w:spacing w:line="400" w:lineRule="exact"/>
        <w:ind w:firstLine="420" w:firstLineChars="200"/>
        <w:rPr>
          <w:rFonts w:hint="eastAsia" w:ascii="Times New Roman" w:hAnsi="Times New Roman"/>
        </w:rPr>
      </w:pPr>
      <w:r>
        <w:rPr>
          <w:rFonts w:hint="eastAsia" w:ascii="Times New Roman" w:hAnsi="Times New Roman"/>
        </w:rPr>
        <w:t>（10）被依法暂停或者取消</w:t>
      </w:r>
      <w:r>
        <w:rPr>
          <w:rFonts w:hint="eastAsia" w:ascii="Times New Roman" w:hAnsi="Times New Roman"/>
          <w:lang w:val="en-US" w:eastAsia="zh-CN"/>
        </w:rPr>
        <w:t>在项目所在地</w:t>
      </w:r>
      <w:r>
        <w:rPr>
          <w:rFonts w:hint="eastAsia" w:ascii="Times New Roman" w:hAnsi="Times New Roman"/>
        </w:rPr>
        <w:t>投标资格；</w:t>
      </w:r>
    </w:p>
    <w:p w14:paraId="26A969A4">
      <w:pPr>
        <w:spacing w:line="400" w:lineRule="exact"/>
        <w:ind w:firstLine="420" w:firstLineChars="200"/>
        <w:rPr>
          <w:rFonts w:hint="eastAsia" w:ascii="Times New Roman" w:hAnsi="Times New Roman"/>
        </w:rPr>
      </w:pPr>
      <w:r>
        <w:rPr>
          <w:rFonts w:hint="eastAsia" w:ascii="Times New Roman" w:hAnsi="Times New Roman"/>
        </w:rPr>
        <w:t>（11）被责令停产停业、暂扣或者吊销许可证、暂扣或者吊销执照；</w:t>
      </w:r>
    </w:p>
    <w:p w14:paraId="1A2C8285">
      <w:pPr>
        <w:spacing w:line="400" w:lineRule="exact"/>
        <w:ind w:firstLine="420" w:firstLineChars="200"/>
        <w:rPr>
          <w:rFonts w:hint="eastAsia" w:ascii="Times New Roman" w:hAnsi="Times New Roman"/>
        </w:rPr>
      </w:pPr>
      <w:r>
        <w:rPr>
          <w:rFonts w:hint="eastAsia" w:ascii="Times New Roman" w:hAnsi="Times New Roman"/>
        </w:rPr>
        <w:t>（12）进入清算程序，或被宣告破产，或其他丧失履约能力的情形；</w:t>
      </w:r>
    </w:p>
    <w:p w14:paraId="7EF687D4">
      <w:pPr>
        <w:spacing w:line="400" w:lineRule="exact"/>
        <w:ind w:firstLine="420" w:firstLineChars="200"/>
        <w:rPr>
          <w:rFonts w:hint="eastAsia" w:ascii="Times New Roman" w:hAnsi="Times New Roman"/>
        </w:rPr>
      </w:pPr>
      <w:r>
        <w:rPr>
          <w:rFonts w:hint="eastAsia" w:ascii="Times New Roman" w:hAnsi="Times New Roman"/>
        </w:rPr>
        <w:t>（13）在最近三年内发生重大施工质量问题和安全生产事故（以具有管辖权相关行业主管部门的行政处罚决或司法机关出具的有关法律文书为准）；</w:t>
      </w:r>
    </w:p>
    <w:p w14:paraId="0FD8EB34">
      <w:pPr>
        <w:spacing w:line="400" w:lineRule="exact"/>
        <w:ind w:firstLine="420" w:firstLineChars="200"/>
        <w:rPr>
          <w:rFonts w:hint="eastAsia" w:ascii="Times New Roman" w:hAnsi="Times New Roman" w:eastAsia="宋体"/>
          <w:highlight w:val="none"/>
          <w:lang w:eastAsia="zh-CN"/>
        </w:rPr>
      </w:pPr>
      <w:r>
        <w:rPr>
          <w:rFonts w:hint="eastAsia" w:ascii="Times New Roman" w:hAnsi="Times New Roman"/>
          <w:highlight w:val="none"/>
        </w:rPr>
        <w:t>（14）在“信用中国”网站（www.creditchina.gov.cn）中列入失信被执行人名单、严重违法失信企业名单；</w:t>
      </w:r>
    </w:p>
    <w:p w14:paraId="0DBB397E">
      <w:pPr>
        <w:pageBreakBefore w:val="0"/>
        <w:widowControl w:val="0"/>
        <w:numPr>
          <w:ilvl w:val="0"/>
          <w:numId w:val="0"/>
        </w:numPr>
        <w:kinsoku/>
        <w:wordWrap/>
        <w:overflowPunct/>
        <w:topLinePunct w:val="0"/>
        <w:autoSpaceDE/>
        <w:autoSpaceDN/>
        <w:bidi w:val="0"/>
        <w:adjustRightInd/>
        <w:snapToGrid/>
        <w:spacing w:line="360" w:lineRule="auto"/>
        <w:ind w:firstLine="420" w:firstLineChars="0"/>
        <w:textAlignment w:val="auto"/>
        <w:rPr>
          <w:rFonts w:hint="eastAsia" w:ascii="宋体" w:hAnsi="宋体"/>
          <w:szCs w:val="21"/>
          <w:highlight w:val="none"/>
          <w:lang w:eastAsia="zh-CN"/>
        </w:rPr>
      </w:pP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lang w:val="en-US" w:eastAsia="zh-CN"/>
        </w:rPr>
        <w:t>15</w:t>
      </w:r>
      <w:r>
        <w:rPr>
          <w:rFonts w:hint="eastAsia" w:ascii="宋体" w:hAnsi="宋体" w:eastAsia="宋体" w:cs="宋体"/>
          <w:color w:val="000000"/>
          <w:sz w:val="21"/>
          <w:szCs w:val="21"/>
          <w:highlight w:val="none"/>
          <w:lang w:eastAsia="zh-CN"/>
        </w:rPr>
        <w:t>）</w:t>
      </w:r>
      <w:r>
        <w:rPr>
          <w:rFonts w:hint="eastAsia" w:ascii="宋体" w:hAnsi="宋体"/>
          <w:szCs w:val="21"/>
          <w:highlight w:val="none"/>
        </w:rPr>
        <w:t>投标企业所使用的关键岗位人员（包括但不限于项目经理、总监理工程师、安全负责人、技术负责人、施工负责人、质量负责人、专业监理工程师、专职安全生产管理人员等。）</w:t>
      </w:r>
      <w:r>
        <w:rPr>
          <w:rFonts w:hint="eastAsia" w:ascii="宋体" w:hAnsi="宋体"/>
          <w:szCs w:val="21"/>
          <w:highlight w:val="none"/>
          <w:lang w:val="en-US" w:eastAsia="zh-CN"/>
        </w:rPr>
        <w:t>存在</w:t>
      </w:r>
      <w:r>
        <w:rPr>
          <w:rFonts w:hint="eastAsia" w:ascii="宋体" w:hAnsi="宋体"/>
          <w:szCs w:val="21"/>
          <w:highlight w:val="none"/>
        </w:rPr>
        <w:t>失信行为</w:t>
      </w:r>
      <w:r>
        <w:rPr>
          <w:rFonts w:hint="eastAsia" w:ascii="宋体" w:hAnsi="宋体"/>
          <w:szCs w:val="21"/>
          <w:highlight w:val="none"/>
          <w:lang w:eastAsia="zh-CN"/>
        </w:rPr>
        <w:t>。</w:t>
      </w:r>
    </w:p>
    <w:p w14:paraId="2356FCE2">
      <w:pPr>
        <w:pageBreakBefore w:val="0"/>
        <w:widowControl w:val="0"/>
        <w:numPr>
          <w:ilvl w:val="0"/>
          <w:numId w:val="0"/>
        </w:numPr>
        <w:kinsoku/>
        <w:wordWrap/>
        <w:overflowPunct/>
        <w:topLinePunct w:val="0"/>
        <w:autoSpaceDE/>
        <w:autoSpaceDN/>
        <w:bidi w:val="0"/>
        <w:adjustRightInd/>
        <w:snapToGrid/>
        <w:spacing w:line="360" w:lineRule="auto"/>
        <w:ind w:firstLine="420" w:firstLineChars="0"/>
        <w:textAlignment w:val="auto"/>
        <w:rPr>
          <w:rFonts w:hint="eastAsia" w:ascii="宋体" w:hAnsi="宋体"/>
          <w:szCs w:val="21"/>
          <w:highlight w:val="none"/>
          <w:lang w:eastAsia="zh-CN"/>
        </w:rPr>
      </w:pPr>
      <w:r>
        <w:rPr>
          <w:rFonts w:hint="eastAsia" w:ascii="宋体" w:hAnsi="宋体"/>
          <w:szCs w:val="21"/>
          <w:highlight w:val="none"/>
          <w:lang w:eastAsia="zh-CN"/>
        </w:rPr>
        <w:t>（</w:t>
      </w:r>
      <w:r>
        <w:rPr>
          <w:rFonts w:hint="eastAsia" w:ascii="宋体" w:hAnsi="宋体"/>
          <w:szCs w:val="21"/>
          <w:highlight w:val="none"/>
          <w:lang w:val="en-US" w:eastAsia="zh-CN"/>
        </w:rPr>
        <w:t>16</w:t>
      </w:r>
      <w:r>
        <w:rPr>
          <w:rFonts w:hint="eastAsia" w:ascii="宋体" w:hAnsi="宋体"/>
          <w:szCs w:val="21"/>
          <w:highlight w:val="none"/>
          <w:lang w:eastAsia="zh-CN"/>
        </w:rPr>
        <w:t>）被列入拖欠农民工工资失信联合惩戒对象名单以及法律法规规章、政策文件要求实施联合惩戒予以限制投标的。</w:t>
      </w:r>
    </w:p>
    <w:p w14:paraId="5E9589A8">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color w:val="000000"/>
          <w:sz w:val="21"/>
          <w:szCs w:val="21"/>
        </w:rPr>
        <w:t>（1</w:t>
      </w:r>
      <w:r>
        <w:rPr>
          <w:rFonts w:hint="eastAsia" w:ascii="宋体" w:hAnsi="宋体" w:cs="宋体"/>
          <w:color w:val="000000"/>
          <w:sz w:val="21"/>
          <w:szCs w:val="21"/>
          <w:lang w:val="en-US" w:eastAsia="zh-CN"/>
        </w:rPr>
        <w:t>7</w:t>
      </w:r>
      <w:r>
        <w:rPr>
          <w:rFonts w:hint="eastAsia" w:ascii="宋体" w:hAnsi="宋体" w:eastAsia="宋体" w:cs="宋体"/>
          <w:color w:val="000000"/>
          <w:sz w:val="21"/>
          <w:szCs w:val="21"/>
        </w:rPr>
        <w:t>）法律法规或投标人须知前附表规定的其他情形。</w:t>
      </w:r>
    </w:p>
    <w:p w14:paraId="70BB0021">
      <w:pPr>
        <w:pStyle w:val="4"/>
        <w:spacing w:line="240" w:lineRule="auto"/>
        <w:ind w:firstLine="137"/>
        <w:rPr>
          <w:rFonts w:ascii="Times New Roman" w:hAnsi="Times New Roman"/>
          <w:color w:val="000000"/>
        </w:rPr>
      </w:pPr>
      <w:bookmarkStart w:id="18" w:name="_Toc4095"/>
      <w:r>
        <w:rPr>
          <w:rFonts w:ascii="Times New Roman" w:hAnsi="Times New Roman"/>
          <w:color w:val="000000"/>
        </w:rPr>
        <w:t xml:space="preserve">1.5 </w:t>
      </w:r>
      <w:r>
        <w:rPr>
          <w:rFonts w:hint="eastAsia" w:ascii="Times New Roman" w:hAnsi="Times New Roman"/>
          <w:color w:val="000000"/>
        </w:rPr>
        <w:t>费用承担</w:t>
      </w:r>
      <w:bookmarkEnd w:id="18"/>
    </w:p>
    <w:p w14:paraId="36C785A8">
      <w:pPr>
        <w:spacing w:line="400" w:lineRule="exact"/>
        <w:ind w:firstLine="420" w:firstLineChars="200"/>
        <w:rPr>
          <w:rFonts w:hint="eastAsia" w:ascii="Times New Roman" w:hAnsi="Times New Roman"/>
        </w:rPr>
      </w:pPr>
      <w:r>
        <w:rPr>
          <w:rFonts w:hint="eastAsia" w:ascii="Times New Roman" w:hAnsi="Times New Roman"/>
        </w:rPr>
        <w:t>投标人准备和参加投标活动发生的费用自理。</w:t>
      </w:r>
    </w:p>
    <w:p w14:paraId="2CBF4B38">
      <w:pPr>
        <w:spacing w:line="400" w:lineRule="exact"/>
        <w:ind w:firstLine="420" w:firstLineChars="200"/>
        <w:rPr>
          <w:rFonts w:ascii="Times New Roman" w:hAnsi="Times New Roman"/>
        </w:rPr>
      </w:pPr>
      <w:r>
        <w:rPr>
          <w:rFonts w:hint="eastAsia" w:ascii="Times New Roman" w:hAnsi="Times New Roman"/>
        </w:rPr>
        <w:t>根据《内蒙古自治区促进建筑业高质量发展的若干措施》（内政办发〔2022〕58号），不得将应由招标人承担的招标代理服务费用转嫁给中标企业。</w:t>
      </w:r>
    </w:p>
    <w:p w14:paraId="3F98EC70">
      <w:pPr>
        <w:pStyle w:val="4"/>
        <w:spacing w:line="240" w:lineRule="auto"/>
        <w:ind w:firstLine="137"/>
        <w:rPr>
          <w:rFonts w:ascii="Times New Roman" w:hAnsi="Times New Roman"/>
          <w:color w:val="000000"/>
        </w:rPr>
      </w:pPr>
      <w:bookmarkStart w:id="19" w:name="_Toc12210"/>
      <w:r>
        <w:rPr>
          <w:rFonts w:ascii="Times New Roman" w:hAnsi="Times New Roman"/>
          <w:color w:val="000000"/>
        </w:rPr>
        <w:t>1.6</w:t>
      </w:r>
      <w:r>
        <w:rPr>
          <w:rFonts w:hint="eastAsia" w:ascii="Times New Roman" w:hAnsi="Times New Roman"/>
          <w:color w:val="000000"/>
        </w:rPr>
        <w:t>保密</w:t>
      </w:r>
      <w:bookmarkEnd w:id="19"/>
    </w:p>
    <w:p w14:paraId="0301554B">
      <w:pPr>
        <w:spacing w:line="400" w:lineRule="exact"/>
        <w:ind w:firstLine="420" w:firstLineChars="200"/>
        <w:rPr>
          <w:rFonts w:ascii="Times New Roman" w:hAnsi="Times New Roman"/>
          <w:color w:val="000000"/>
        </w:rPr>
      </w:pPr>
      <w:r>
        <w:rPr>
          <w:rFonts w:ascii="Times New Roman" w:hAnsi="Times New Roman"/>
          <w:color w:val="000000"/>
        </w:rPr>
        <w:t>参与招标投标活动的各方应对招标文件和投标文件中</w:t>
      </w:r>
      <w:bookmarkStart w:id="20" w:name="_Toc352691477"/>
      <w:bookmarkStart w:id="21" w:name="_Toc369531519"/>
      <w:bookmarkStart w:id="22" w:name="_Toc5326"/>
      <w:bookmarkStart w:id="23" w:name="_Toc384308214"/>
      <w:bookmarkStart w:id="24" w:name="_Toc361508589"/>
      <w:r>
        <w:rPr>
          <w:rFonts w:ascii="Times New Roman" w:hAnsi="Times New Roman"/>
          <w:color w:val="000000"/>
        </w:rPr>
        <w:t>的商业和技术等秘密保密</w:t>
      </w:r>
      <w:bookmarkEnd w:id="20"/>
      <w:bookmarkEnd w:id="21"/>
      <w:bookmarkEnd w:id="22"/>
      <w:bookmarkEnd w:id="23"/>
      <w:bookmarkEnd w:id="24"/>
      <w:r>
        <w:rPr>
          <w:rFonts w:ascii="Times New Roman" w:hAnsi="Times New Roman"/>
          <w:color w:val="000000"/>
        </w:rPr>
        <w:t>，否则应承担相应的法律责任。</w:t>
      </w:r>
    </w:p>
    <w:p w14:paraId="3E3A2A8B">
      <w:pPr>
        <w:pStyle w:val="4"/>
        <w:spacing w:line="240" w:lineRule="auto"/>
        <w:ind w:firstLine="137"/>
        <w:rPr>
          <w:rFonts w:ascii="Times New Roman" w:hAnsi="Times New Roman"/>
          <w:color w:val="000000"/>
        </w:rPr>
      </w:pPr>
      <w:bookmarkStart w:id="25" w:name="_Toc29149"/>
      <w:r>
        <w:rPr>
          <w:rFonts w:ascii="Times New Roman" w:hAnsi="Times New Roman"/>
          <w:color w:val="000000"/>
        </w:rPr>
        <w:t>1.7 语言文字</w:t>
      </w:r>
      <w:bookmarkEnd w:id="25"/>
    </w:p>
    <w:p w14:paraId="3C616624">
      <w:pPr>
        <w:spacing w:line="400" w:lineRule="exact"/>
        <w:ind w:firstLine="420" w:firstLineChars="200"/>
        <w:rPr>
          <w:rFonts w:ascii="Times New Roman" w:hAnsi="Times New Roman"/>
          <w:color w:val="000000"/>
        </w:rPr>
      </w:pPr>
      <w:r>
        <w:rPr>
          <w:rFonts w:ascii="Times New Roman" w:hAnsi="Times New Roman"/>
          <w:color w:val="000000"/>
        </w:rPr>
        <w:t>招标投标文件使用的语言文字为中文。专用术语使用外文的，应附有中文注释。</w:t>
      </w:r>
    </w:p>
    <w:p w14:paraId="10525D1C">
      <w:pPr>
        <w:pStyle w:val="4"/>
        <w:spacing w:line="240" w:lineRule="auto"/>
        <w:ind w:firstLine="137"/>
        <w:rPr>
          <w:rFonts w:ascii="Times New Roman" w:hAnsi="Times New Roman"/>
          <w:color w:val="000000"/>
        </w:rPr>
      </w:pPr>
      <w:bookmarkStart w:id="26" w:name="_Toc11714"/>
      <w:r>
        <w:rPr>
          <w:rFonts w:ascii="Times New Roman" w:hAnsi="Times New Roman"/>
          <w:color w:val="000000"/>
        </w:rPr>
        <w:t>1.8计量单位</w:t>
      </w:r>
      <w:bookmarkEnd w:id="26"/>
    </w:p>
    <w:p w14:paraId="7F9A7B17">
      <w:pPr>
        <w:spacing w:line="400" w:lineRule="exact"/>
        <w:ind w:firstLine="420" w:firstLineChars="200"/>
        <w:rPr>
          <w:rFonts w:ascii="Times New Roman" w:hAnsi="Times New Roman"/>
          <w:color w:val="000000"/>
        </w:rPr>
      </w:pPr>
      <w:r>
        <w:rPr>
          <w:rFonts w:ascii="Times New Roman" w:hAnsi="Times New Roman"/>
          <w:color w:val="000000"/>
        </w:rPr>
        <w:t>所有计量均采用中华人民共和国法定计量单位。</w:t>
      </w:r>
    </w:p>
    <w:p w14:paraId="6934757F">
      <w:pPr>
        <w:pStyle w:val="4"/>
        <w:spacing w:line="240" w:lineRule="auto"/>
        <w:ind w:firstLine="137"/>
        <w:rPr>
          <w:rFonts w:ascii="Times New Roman" w:hAnsi="Times New Roman"/>
          <w:color w:val="000000"/>
        </w:rPr>
      </w:pPr>
      <w:bookmarkStart w:id="27" w:name="_Toc86"/>
      <w:r>
        <w:rPr>
          <w:rFonts w:ascii="Times New Roman" w:hAnsi="Times New Roman"/>
          <w:color w:val="000000"/>
        </w:rPr>
        <w:t>1.</w:t>
      </w:r>
      <w:r>
        <w:rPr>
          <w:rFonts w:hint="eastAsia" w:ascii="Times New Roman" w:hAnsi="Times New Roman"/>
          <w:color w:val="000000"/>
          <w:lang w:val="en-US" w:eastAsia="zh-CN"/>
        </w:rPr>
        <w:t>9</w:t>
      </w:r>
      <w:r>
        <w:rPr>
          <w:rFonts w:ascii="Times New Roman" w:hAnsi="Times New Roman"/>
          <w:color w:val="000000"/>
        </w:rPr>
        <w:t xml:space="preserve"> 分包</w:t>
      </w:r>
      <w:bookmarkEnd w:id="27"/>
    </w:p>
    <w:p w14:paraId="1F5AEC6A">
      <w:pPr>
        <w:spacing w:line="400" w:lineRule="exact"/>
        <w:ind w:firstLine="420" w:firstLineChars="200"/>
        <w:rPr>
          <w:rFonts w:ascii="Times New Roman" w:hAnsi="Times New Roman"/>
          <w:color w:val="000000"/>
          <w:szCs w:val="20"/>
        </w:rPr>
      </w:pPr>
      <w:r>
        <w:rPr>
          <w:rFonts w:ascii="Times New Roman" w:hAnsi="Times New Roman"/>
          <w:color w:val="000000"/>
        </w:rPr>
        <w:t>1.</w:t>
      </w:r>
      <w:r>
        <w:rPr>
          <w:rFonts w:hint="eastAsia" w:ascii="Times New Roman" w:hAnsi="Times New Roman"/>
          <w:color w:val="000000"/>
          <w:lang w:val="en-US" w:eastAsia="zh-CN"/>
        </w:rPr>
        <w:t>9</w:t>
      </w:r>
      <w:r>
        <w:rPr>
          <w:rFonts w:ascii="Times New Roman" w:hAnsi="Times New Roman"/>
          <w:color w:val="000000"/>
        </w:rPr>
        <w:t xml:space="preserve">.1 投标人拟在中标后将中标项目的非主体材料进行分包的，应符合投标人须知前附表规定的分包内容、分包金额和资质要求等限制性条件，除投标人须知前附表规定的非主体材料外，其他工作不得分包。 </w:t>
      </w:r>
    </w:p>
    <w:p w14:paraId="1327ED85">
      <w:pPr>
        <w:spacing w:line="400" w:lineRule="exact"/>
        <w:ind w:firstLine="420" w:firstLineChars="200"/>
        <w:rPr>
          <w:rFonts w:ascii="Times New Roman" w:hAnsi="Times New Roman"/>
          <w:color w:val="000000"/>
        </w:rPr>
      </w:pPr>
      <w:r>
        <w:rPr>
          <w:rFonts w:ascii="Times New Roman" w:hAnsi="Times New Roman"/>
          <w:color w:val="000000"/>
        </w:rPr>
        <w:t>1.</w:t>
      </w:r>
      <w:r>
        <w:rPr>
          <w:rFonts w:hint="eastAsia" w:ascii="Times New Roman" w:hAnsi="Times New Roman"/>
          <w:color w:val="000000"/>
          <w:lang w:val="en-US" w:eastAsia="zh-CN"/>
        </w:rPr>
        <w:t>9</w:t>
      </w:r>
      <w:r>
        <w:rPr>
          <w:rFonts w:ascii="Times New Roman" w:hAnsi="Times New Roman"/>
          <w:color w:val="000000"/>
        </w:rPr>
        <w:t>.2中标人不得向他人转让中标项目，接受分包的人不得再次分包。中标人应当就分包项目向招标人负责，接受分包的人就分包项目承担连带责任。</w:t>
      </w:r>
    </w:p>
    <w:p w14:paraId="3AB97641">
      <w:pPr>
        <w:pStyle w:val="4"/>
        <w:spacing w:line="240" w:lineRule="auto"/>
        <w:ind w:firstLine="137"/>
        <w:rPr>
          <w:rFonts w:ascii="Times New Roman" w:hAnsi="Times New Roman"/>
          <w:color w:val="000000"/>
        </w:rPr>
      </w:pPr>
      <w:bookmarkStart w:id="28" w:name="_Toc3457"/>
      <w:r>
        <w:rPr>
          <w:rFonts w:ascii="Times New Roman" w:hAnsi="Times New Roman"/>
          <w:color w:val="000000"/>
        </w:rPr>
        <w:t>1.1</w:t>
      </w:r>
      <w:r>
        <w:rPr>
          <w:rFonts w:hint="eastAsia" w:ascii="Times New Roman" w:hAnsi="Times New Roman"/>
          <w:color w:val="000000"/>
          <w:lang w:val="en-US" w:eastAsia="zh-CN"/>
        </w:rPr>
        <w:t>0</w:t>
      </w:r>
      <w:r>
        <w:rPr>
          <w:rFonts w:ascii="Times New Roman" w:hAnsi="Times New Roman"/>
          <w:color w:val="000000"/>
        </w:rPr>
        <w:t>响应和偏差</w:t>
      </w:r>
      <w:bookmarkEnd w:id="28"/>
    </w:p>
    <w:p w14:paraId="148D252D">
      <w:pPr>
        <w:spacing w:line="400" w:lineRule="exact"/>
        <w:ind w:firstLine="420" w:firstLineChars="200"/>
        <w:rPr>
          <w:rFonts w:ascii="Times New Roman" w:hAnsi="Times New Roman"/>
          <w:color w:val="000000"/>
        </w:rPr>
      </w:pPr>
      <w:r>
        <w:rPr>
          <w:rFonts w:ascii="Times New Roman" w:hAnsi="Times New Roman"/>
          <w:color w:val="000000"/>
        </w:rPr>
        <w:t>1.1</w:t>
      </w:r>
      <w:r>
        <w:rPr>
          <w:rFonts w:hint="eastAsia" w:ascii="Times New Roman" w:hAnsi="Times New Roman"/>
          <w:color w:val="000000"/>
          <w:lang w:val="en-US" w:eastAsia="zh-CN"/>
        </w:rPr>
        <w:t>0</w:t>
      </w:r>
      <w:r>
        <w:rPr>
          <w:rFonts w:ascii="Times New Roman" w:hAnsi="Times New Roman"/>
          <w:color w:val="000000"/>
        </w:rPr>
        <w:t>.1投标文件应当对招标文件的实质性要求和条件作出满足性或更有利于招标人的响应，否则，投标人的投标将被否决。实质性要求和条件见投标人须知前附表。</w:t>
      </w:r>
    </w:p>
    <w:p w14:paraId="0062D211">
      <w:pPr>
        <w:spacing w:line="400" w:lineRule="exact"/>
        <w:ind w:firstLine="420" w:firstLineChars="200"/>
        <w:rPr>
          <w:rFonts w:ascii="Times New Roman" w:hAnsi="Times New Roman"/>
          <w:color w:val="000000"/>
        </w:rPr>
      </w:pPr>
      <w:r>
        <w:rPr>
          <w:rFonts w:ascii="Times New Roman" w:hAnsi="Times New Roman"/>
          <w:color w:val="000000"/>
        </w:rPr>
        <w:t>1.1</w:t>
      </w:r>
      <w:r>
        <w:rPr>
          <w:rFonts w:hint="eastAsia" w:ascii="Times New Roman" w:hAnsi="Times New Roman"/>
          <w:color w:val="000000"/>
          <w:lang w:val="en-US" w:eastAsia="zh-CN"/>
        </w:rPr>
        <w:t>0</w:t>
      </w:r>
      <w:r>
        <w:rPr>
          <w:rFonts w:ascii="Times New Roman" w:hAnsi="Times New Roman"/>
          <w:color w:val="000000"/>
        </w:rPr>
        <w:t xml:space="preserve">.2 </w:t>
      </w:r>
      <w:r>
        <w:rPr>
          <w:rFonts w:ascii="Times New Roman" w:hAnsi="Times New Roman"/>
          <w:szCs w:val="21"/>
        </w:rPr>
        <w:t>投标人应根据招标文件的要求提供</w:t>
      </w:r>
      <w:r>
        <w:rPr>
          <w:rFonts w:ascii="Times New Roman" w:hAnsi="Times New Roman"/>
        </w:rPr>
        <w:t>投标材料质量标准的详细描述、技术支持资料及相关服务计划等内容以对招标文件作出响应。</w:t>
      </w:r>
    </w:p>
    <w:p w14:paraId="201E7D35">
      <w:pPr>
        <w:spacing w:line="400" w:lineRule="exact"/>
        <w:ind w:firstLine="420" w:firstLineChars="200"/>
        <w:rPr>
          <w:rFonts w:ascii="Times New Roman" w:hAnsi="Times New Roman"/>
          <w:color w:val="000000"/>
        </w:rPr>
      </w:pPr>
      <w:r>
        <w:rPr>
          <w:rFonts w:ascii="Times New Roman" w:hAnsi="Times New Roman"/>
          <w:color w:val="000000"/>
        </w:rPr>
        <w:t>1.1</w:t>
      </w:r>
      <w:r>
        <w:rPr>
          <w:rFonts w:hint="eastAsia" w:ascii="Times New Roman" w:hAnsi="Times New Roman"/>
          <w:color w:val="000000"/>
          <w:lang w:val="en-US" w:eastAsia="zh-CN"/>
        </w:rPr>
        <w:t>0</w:t>
      </w:r>
      <w:r>
        <w:rPr>
          <w:rFonts w:ascii="Times New Roman" w:hAnsi="Times New Roman"/>
          <w:color w:val="000000"/>
        </w:rPr>
        <w:t>.3 投标文件中应针对实质性要求和条件中列明的技术要求提供技术支持资料。技术支持资料以制造商公开发布的印刷资料，或检测机构出具的检测报告或投标人须知前附表允许的其他形式为准，不符合前述要求的，视为无技术支持资料，其投标将被否决。</w:t>
      </w:r>
    </w:p>
    <w:p w14:paraId="44DA3CD6">
      <w:pPr>
        <w:spacing w:line="400" w:lineRule="exact"/>
        <w:ind w:firstLine="420" w:firstLineChars="200"/>
        <w:rPr>
          <w:rFonts w:ascii="Times New Roman" w:hAnsi="Times New Roman"/>
          <w:color w:val="000000"/>
        </w:rPr>
      </w:pPr>
      <w:r>
        <w:rPr>
          <w:rFonts w:ascii="Times New Roman" w:hAnsi="Times New Roman"/>
          <w:color w:val="000000"/>
        </w:rPr>
        <w:t>1.1</w:t>
      </w:r>
      <w:r>
        <w:rPr>
          <w:rFonts w:hint="eastAsia" w:ascii="Times New Roman" w:hAnsi="Times New Roman"/>
          <w:color w:val="000000"/>
          <w:lang w:val="en-US" w:eastAsia="zh-CN"/>
        </w:rPr>
        <w:t>0</w:t>
      </w:r>
      <w:r>
        <w:rPr>
          <w:rFonts w:ascii="Times New Roman" w:hAnsi="Times New Roman"/>
          <w:color w:val="000000"/>
        </w:rPr>
        <w:t>.4 投标人须知前附表规定了可以偏差的范围和最高偏差项数的，偏差应当符合投标人须知前附表规定的偏差范围和最高项数，超出偏差范围和最高偏差项数的投标将被否决。</w:t>
      </w:r>
    </w:p>
    <w:p w14:paraId="4D5C74A2">
      <w:pPr>
        <w:spacing w:line="400" w:lineRule="exact"/>
        <w:ind w:firstLine="420" w:firstLineChars="200"/>
        <w:rPr>
          <w:rFonts w:ascii="Times New Roman" w:hAnsi="Times New Roman"/>
        </w:rPr>
      </w:pPr>
      <w:r>
        <w:rPr>
          <w:rFonts w:ascii="Times New Roman" w:hAnsi="Times New Roman"/>
          <w:color w:val="000000"/>
        </w:rPr>
        <w:t>1.1</w:t>
      </w:r>
      <w:r>
        <w:rPr>
          <w:rFonts w:hint="eastAsia" w:ascii="Times New Roman" w:hAnsi="Times New Roman"/>
          <w:color w:val="000000"/>
          <w:lang w:val="en-US" w:eastAsia="zh-CN"/>
        </w:rPr>
        <w:t>0</w:t>
      </w:r>
      <w:r>
        <w:rPr>
          <w:rFonts w:ascii="Times New Roman" w:hAnsi="Times New Roman"/>
          <w:color w:val="000000"/>
        </w:rPr>
        <w:t>.5 投标文件对招标文件的全部偏差，均应在投标文件的</w:t>
      </w:r>
      <w:r>
        <w:rPr>
          <w:rFonts w:ascii="Times New Roman" w:hAnsi="Times New Roman"/>
          <w:szCs w:val="21"/>
        </w:rPr>
        <w:t>商务和技术偏差表</w:t>
      </w:r>
      <w:r>
        <w:rPr>
          <w:rFonts w:ascii="Times New Roman" w:hAnsi="Times New Roman"/>
          <w:color w:val="000000"/>
        </w:rPr>
        <w:t>中列明，除</w:t>
      </w:r>
      <w:r>
        <w:rPr>
          <w:rFonts w:ascii="Times New Roman" w:hAnsi="Times New Roman"/>
          <w:szCs w:val="21"/>
        </w:rPr>
        <w:t>列明的内容外，视为投标人响应招标文件的全部要求。</w:t>
      </w:r>
    </w:p>
    <w:p w14:paraId="6BF40EF4">
      <w:pPr>
        <w:pStyle w:val="3"/>
        <w:rPr>
          <w:rFonts w:ascii="Times New Roman" w:hAnsi="Times New Roman"/>
          <w:color w:val="000000"/>
        </w:rPr>
      </w:pPr>
      <w:bookmarkStart w:id="29" w:name="_Toc20532"/>
      <w:r>
        <w:rPr>
          <w:rFonts w:ascii="Times New Roman" w:hAnsi="Times New Roman"/>
          <w:color w:val="000000"/>
        </w:rPr>
        <w:t>2. 招标文件</w:t>
      </w:r>
      <w:bookmarkEnd w:id="29"/>
    </w:p>
    <w:p w14:paraId="4BEE7EB5">
      <w:pPr>
        <w:pStyle w:val="4"/>
        <w:spacing w:line="240" w:lineRule="auto"/>
        <w:ind w:firstLine="137"/>
        <w:rPr>
          <w:rFonts w:ascii="Times New Roman" w:hAnsi="Times New Roman"/>
          <w:color w:val="000000"/>
        </w:rPr>
      </w:pPr>
      <w:bookmarkStart w:id="30" w:name="_Toc7858"/>
      <w:r>
        <w:rPr>
          <w:rFonts w:ascii="Times New Roman" w:hAnsi="Times New Roman"/>
          <w:color w:val="000000"/>
        </w:rPr>
        <w:t>2.1 招标文件的组成</w:t>
      </w:r>
      <w:bookmarkEnd w:id="30"/>
    </w:p>
    <w:p w14:paraId="5958AEC6">
      <w:pPr>
        <w:spacing w:line="400" w:lineRule="exact"/>
        <w:ind w:firstLine="359" w:firstLineChars="171"/>
        <w:rPr>
          <w:rFonts w:ascii="Times New Roman" w:hAnsi="Times New Roman"/>
          <w:color w:val="000000"/>
        </w:rPr>
      </w:pPr>
      <w:r>
        <w:rPr>
          <w:rFonts w:ascii="Times New Roman" w:hAnsi="Times New Roman"/>
          <w:color w:val="000000"/>
        </w:rPr>
        <w:t>本招标文件包括：</w:t>
      </w:r>
    </w:p>
    <w:p w14:paraId="2BC431FC">
      <w:pPr>
        <w:spacing w:line="400" w:lineRule="exact"/>
        <w:ind w:firstLine="359" w:firstLineChars="171"/>
        <w:rPr>
          <w:rFonts w:ascii="Times New Roman" w:hAnsi="Times New Roman"/>
          <w:color w:val="000000"/>
        </w:rPr>
      </w:pPr>
      <w:r>
        <w:rPr>
          <w:rFonts w:ascii="Times New Roman" w:hAnsi="Times New Roman"/>
          <w:color w:val="000000"/>
        </w:rPr>
        <w:t>（1）招标公告；</w:t>
      </w:r>
    </w:p>
    <w:p w14:paraId="5DBA2EF0">
      <w:pPr>
        <w:spacing w:line="400" w:lineRule="exact"/>
        <w:ind w:firstLine="359" w:firstLineChars="171"/>
        <w:rPr>
          <w:rFonts w:ascii="Times New Roman" w:hAnsi="Times New Roman"/>
          <w:color w:val="000000"/>
        </w:rPr>
      </w:pPr>
      <w:r>
        <w:rPr>
          <w:rFonts w:ascii="Times New Roman" w:hAnsi="Times New Roman"/>
          <w:color w:val="000000"/>
        </w:rPr>
        <w:t>（2）投标人须知；</w:t>
      </w:r>
    </w:p>
    <w:p w14:paraId="61020436">
      <w:pPr>
        <w:spacing w:line="400" w:lineRule="exact"/>
        <w:ind w:firstLine="359" w:firstLineChars="171"/>
        <w:rPr>
          <w:rFonts w:ascii="Times New Roman" w:hAnsi="Times New Roman"/>
          <w:color w:val="000000"/>
        </w:rPr>
      </w:pPr>
      <w:r>
        <w:rPr>
          <w:rFonts w:ascii="Times New Roman" w:hAnsi="Times New Roman"/>
          <w:color w:val="000000"/>
        </w:rPr>
        <w:t>（3）评标办法；</w:t>
      </w:r>
    </w:p>
    <w:p w14:paraId="0D5B240F">
      <w:pPr>
        <w:spacing w:line="400" w:lineRule="exact"/>
        <w:ind w:firstLine="359" w:firstLineChars="171"/>
        <w:rPr>
          <w:rFonts w:ascii="Times New Roman" w:hAnsi="Times New Roman"/>
          <w:color w:val="000000"/>
        </w:rPr>
      </w:pPr>
      <w:r>
        <w:rPr>
          <w:rFonts w:ascii="Times New Roman" w:hAnsi="Times New Roman"/>
          <w:color w:val="000000"/>
        </w:rPr>
        <w:t>（</w:t>
      </w:r>
      <w:r>
        <w:rPr>
          <w:rFonts w:hint="eastAsia" w:ascii="Times New Roman" w:hAnsi="Times New Roman"/>
          <w:color w:val="000000"/>
          <w:lang w:val="en-US" w:eastAsia="zh-CN"/>
        </w:rPr>
        <w:t>4</w:t>
      </w:r>
      <w:r>
        <w:rPr>
          <w:rFonts w:ascii="Times New Roman" w:hAnsi="Times New Roman"/>
          <w:color w:val="000000"/>
        </w:rPr>
        <w:t>）合同条款及格式；</w:t>
      </w:r>
    </w:p>
    <w:p w14:paraId="309C2BF3">
      <w:pPr>
        <w:spacing w:line="400" w:lineRule="exact"/>
        <w:ind w:firstLine="359" w:firstLineChars="171"/>
        <w:rPr>
          <w:rFonts w:ascii="Times New Roman" w:hAnsi="Times New Roman"/>
        </w:rPr>
      </w:pPr>
      <w:r>
        <w:rPr>
          <w:rFonts w:ascii="Times New Roman" w:hAnsi="Times New Roman"/>
          <w:color w:val="000000"/>
        </w:rPr>
        <w:t>（</w:t>
      </w:r>
      <w:r>
        <w:rPr>
          <w:rFonts w:hint="eastAsia" w:ascii="Times New Roman" w:hAnsi="Times New Roman"/>
          <w:color w:val="000000"/>
          <w:lang w:val="en-US" w:eastAsia="zh-CN"/>
        </w:rPr>
        <w:t>5</w:t>
      </w:r>
      <w:r>
        <w:rPr>
          <w:rFonts w:ascii="Times New Roman" w:hAnsi="Times New Roman"/>
          <w:color w:val="000000"/>
        </w:rPr>
        <w:t>）</w:t>
      </w:r>
      <w:r>
        <w:rPr>
          <w:rFonts w:ascii="Times New Roman" w:hAnsi="Times New Roman"/>
        </w:rPr>
        <w:t>供货要求；</w:t>
      </w:r>
    </w:p>
    <w:p w14:paraId="5B766694">
      <w:pPr>
        <w:spacing w:line="400" w:lineRule="exact"/>
        <w:ind w:firstLine="359" w:firstLineChars="171"/>
        <w:rPr>
          <w:rFonts w:ascii="Times New Roman" w:hAnsi="Times New Roman"/>
        </w:rPr>
      </w:pPr>
      <w:r>
        <w:rPr>
          <w:rFonts w:ascii="Times New Roman" w:hAnsi="Times New Roman"/>
        </w:rPr>
        <w:t>（</w:t>
      </w:r>
      <w:r>
        <w:rPr>
          <w:rFonts w:hint="eastAsia" w:ascii="Times New Roman" w:hAnsi="Times New Roman"/>
          <w:lang w:val="en-US" w:eastAsia="zh-CN"/>
        </w:rPr>
        <w:t>6</w:t>
      </w:r>
      <w:r>
        <w:rPr>
          <w:rFonts w:ascii="Times New Roman" w:hAnsi="Times New Roman"/>
        </w:rPr>
        <w:t>）投标文件格式；</w:t>
      </w:r>
    </w:p>
    <w:p w14:paraId="1C6A7959">
      <w:pPr>
        <w:spacing w:line="400" w:lineRule="exact"/>
        <w:ind w:firstLine="359" w:firstLineChars="171"/>
        <w:rPr>
          <w:rFonts w:ascii="Times New Roman" w:hAnsi="Times New Roman"/>
          <w:color w:val="000000"/>
        </w:rPr>
      </w:pPr>
      <w:r>
        <w:rPr>
          <w:rFonts w:ascii="Times New Roman" w:hAnsi="Times New Roman"/>
        </w:rPr>
        <w:t>（</w:t>
      </w:r>
      <w:r>
        <w:rPr>
          <w:rFonts w:hint="eastAsia" w:ascii="Times New Roman" w:hAnsi="Times New Roman"/>
          <w:lang w:val="en-US" w:eastAsia="zh-CN"/>
        </w:rPr>
        <w:t>7</w:t>
      </w:r>
      <w:r>
        <w:rPr>
          <w:rFonts w:ascii="Times New Roman" w:hAnsi="Times New Roman"/>
          <w:color w:val="000000"/>
        </w:rPr>
        <w:t>）投标人须知前附表规定的其他资料。</w:t>
      </w:r>
    </w:p>
    <w:p w14:paraId="6AEC827A">
      <w:pPr>
        <w:spacing w:line="400" w:lineRule="exact"/>
        <w:ind w:firstLine="420" w:firstLineChars="200"/>
        <w:rPr>
          <w:rFonts w:ascii="Times New Roman" w:hAnsi="Times New Roman"/>
          <w:color w:val="000000"/>
        </w:rPr>
      </w:pPr>
      <w:r>
        <w:rPr>
          <w:rFonts w:ascii="Times New Roman" w:hAnsi="Times New Roman"/>
          <w:color w:val="000000"/>
          <w:highlight w:val="none"/>
        </w:rPr>
        <w:t>根据本章第2.2款和第2.3款对招标文件</w:t>
      </w:r>
      <w:r>
        <w:rPr>
          <w:rFonts w:ascii="Times New Roman" w:hAnsi="Times New Roman"/>
          <w:color w:val="000000"/>
        </w:rPr>
        <w:t>所作的澄清、修改，构成招标文件的组成部分。</w:t>
      </w:r>
    </w:p>
    <w:p w14:paraId="09D56FE6">
      <w:pPr>
        <w:pStyle w:val="4"/>
        <w:spacing w:line="240" w:lineRule="auto"/>
        <w:ind w:firstLine="137"/>
        <w:rPr>
          <w:rFonts w:ascii="Times New Roman" w:hAnsi="Times New Roman"/>
          <w:color w:val="000000"/>
        </w:rPr>
      </w:pPr>
      <w:bookmarkStart w:id="31" w:name="_Toc12265"/>
      <w:r>
        <w:rPr>
          <w:rFonts w:ascii="Times New Roman" w:hAnsi="Times New Roman"/>
          <w:color w:val="000000"/>
        </w:rPr>
        <w:t>2.2 招标文件的澄清</w:t>
      </w:r>
      <w:bookmarkEnd w:id="31"/>
    </w:p>
    <w:p w14:paraId="22B685BB">
      <w:pPr>
        <w:spacing w:line="400" w:lineRule="exact"/>
        <w:ind w:firstLine="420" w:firstLineChars="200"/>
        <w:rPr>
          <w:rFonts w:ascii="Times New Roman" w:hAnsi="Times New Roman"/>
          <w:color w:val="000000"/>
        </w:rPr>
      </w:pPr>
      <w:bookmarkStart w:id="32" w:name="_Toc352691479"/>
      <w:r>
        <w:rPr>
          <w:rFonts w:ascii="Times New Roman" w:hAnsi="Times New Roman"/>
          <w:color w:val="000000"/>
        </w:rPr>
        <w:t>2.2.1 投标人应仔细阅读和检查招标文件的全部内容。如发现缺页或附件不全，应及时向招标人提出，以便补齐。如有疑问，应按投标人须知前附表规定的时间和形式将提出的问题送达招标人，要求招标人对招标文件予以澄清。</w:t>
      </w:r>
    </w:p>
    <w:p w14:paraId="53F4BEFD">
      <w:pPr>
        <w:spacing w:line="400" w:lineRule="exact"/>
        <w:ind w:firstLine="420" w:firstLineChars="200"/>
        <w:rPr>
          <w:rFonts w:ascii="Times New Roman" w:hAnsi="Times New Roman"/>
          <w:color w:val="000000"/>
        </w:rPr>
      </w:pPr>
      <w:r>
        <w:rPr>
          <w:rFonts w:ascii="Times New Roman" w:hAnsi="Times New Roman"/>
          <w:color w:val="000000"/>
        </w:rPr>
        <w:t>2.2.2招标文件的澄清以投标人须知前附表规定的形式发给所有购买招标文件的投标人，但不指明澄清问题的来源。澄清发出的时间距本章第4.2.1项规定的投标截止时间不足15日的，并且澄清内容可能影响投标文件编制的，将相应延长投标截止时间。</w:t>
      </w:r>
    </w:p>
    <w:p w14:paraId="16C4ADEF">
      <w:pPr>
        <w:spacing w:line="400" w:lineRule="exact"/>
        <w:ind w:firstLine="420" w:firstLineChars="200"/>
        <w:rPr>
          <w:rFonts w:ascii="Times New Roman" w:hAnsi="Times New Roman"/>
          <w:color w:val="000000"/>
        </w:rPr>
      </w:pPr>
      <w:r>
        <w:rPr>
          <w:rFonts w:ascii="Times New Roman" w:hAnsi="Times New Roman"/>
          <w:color w:val="000000"/>
        </w:rPr>
        <w:t>2.2.3 投标人在收到澄清后，应按投标人须知前附表规定的时间和形式通知招标人，确认已收到该澄清。</w:t>
      </w:r>
    </w:p>
    <w:p w14:paraId="0F8D74C0">
      <w:pPr>
        <w:spacing w:line="400" w:lineRule="exact"/>
        <w:ind w:firstLine="420" w:firstLineChars="200"/>
        <w:rPr>
          <w:rFonts w:ascii="Times New Roman" w:hAnsi="Times New Roman"/>
          <w:color w:val="000000"/>
        </w:rPr>
      </w:pPr>
      <w:r>
        <w:rPr>
          <w:rFonts w:ascii="Times New Roman" w:hAnsi="Times New Roman"/>
          <w:color w:val="000000"/>
        </w:rPr>
        <w:t>2.2.4 除非招标人认为确有必要答复，否则，招标人有权拒绝</w:t>
      </w:r>
      <w:bookmarkStart w:id="33" w:name="_Toc352691478"/>
      <w:bookmarkStart w:id="34" w:name="_Toc27980"/>
      <w:bookmarkStart w:id="35" w:name="_Toc369531520"/>
      <w:r>
        <w:rPr>
          <w:rFonts w:ascii="Times New Roman" w:hAnsi="Times New Roman"/>
          <w:color w:val="000000"/>
        </w:rPr>
        <w:t>回复投标人在</w:t>
      </w:r>
      <w:bookmarkEnd w:id="33"/>
      <w:bookmarkEnd w:id="34"/>
      <w:bookmarkEnd w:id="35"/>
      <w:r>
        <w:rPr>
          <w:rFonts w:hint="eastAsia" w:ascii="Times New Roman" w:hAnsi="Times New Roman"/>
          <w:color w:val="000000"/>
        </w:rPr>
        <w:t>本章第2.2.1项</w:t>
      </w:r>
      <w:r>
        <w:rPr>
          <w:rFonts w:ascii="Times New Roman" w:hAnsi="Times New Roman"/>
          <w:color w:val="000000"/>
        </w:rPr>
        <w:t>规定的时间后的任何澄清要求。</w:t>
      </w:r>
    </w:p>
    <w:p w14:paraId="114732EF">
      <w:pPr>
        <w:pStyle w:val="4"/>
        <w:spacing w:line="240" w:lineRule="auto"/>
        <w:ind w:firstLine="137"/>
        <w:rPr>
          <w:rFonts w:ascii="Times New Roman" w:hAnsi="Times New Roman"/>
          <w:color w:val="000000"/>
        </w:rPr>
      </w:pPr>
      <w:bookmarkStart w:id="36" w:name="_Toc1252"/>
      <w:r>
        <w:rPr>
          <w:rFonts w:ascii="Times New Roman" w:hAnsi="Times New Roman"/>
          <w:color w:val="000000"/>
        </w:rPr>
        <w:t>2.3 招标文件的修</w:t>
      </w:r>
      <w:bookmarkStart w:id="37" w:name="_Toc16514"/>
      <w:bookmarkStart w:id="38" w:name="_Toc369531521"/>
      <w:r>
        <w:rPr>
          <w:rFonts w:ascii="Times New Roman" w:hAnsi="Times New Roman"/>
          <w:color w:val="000000"/>
        </w:rPr>
        <w:t>改</w:t>
      </w:r>
      <w:bookmarkEnd w:id="36"/>
    </w:p>
    <w:bookmarkEnd w:id="32"/>
    <w:bookmarkEnd w:id="37"/>
    <w:bookmarkEnd w:id="38"/>
    <w:p w14:paraId="47C3F01B">
      <w:pPr>
        <w:spacing w:line="400" w:lineRule="exact"/>
        <w:ind w:firstLine="420" w:firstLineChars="200"/>
        <w:rPr>
          <w:rFonts w:ascii="Times New Roman" w:hAnsi="Times New Roman"/>
          <w:color w:val="000000"/>
        </w:rPr>
      </w:pPr>
      <w:bookmarkStart w:id="39" w:name="_Toc361508595"/>
      <w:bookmarkStart w:id="40" w:name="_Toc369531526"/>
      <w:bookmarkStart w:id="41" w:name="_Toc16623"/>
      <w:bookmarkStart w:id="42" w:name="_Toc384308220"/>
      <w:bookmarkStart w:id="43" w:name="_Toc247527564"/>
      <w:bookmarkStart w:id="44" w:name="_Toc300834960"/>
      <w:bookmarkStart w:id="45" w:name="_Toc144974508"/>
      <w:bookmarkStart w:id="46" w:name="_Toc352691484"/>
      <w:bookmarkStart w:id="47" w:name="_Toc152042316"/>
      <w:bookmarkStart w:id="48" w:name="_Toc247513963"/>
      <w:bookmarkStart w:id="49" w:name="_Toc152045540"/>
      <w:r>
        <w:rPr>
          <w:rFonts w:ascii="Times New Roman" w:hAnsi="Times New Roman"/>
          <w:color w:val="000000"/>
        </w:rPr>
        <w:t>2.3.1招标人以投标人须知前附表规定的形式修改招标文件，并通知所有已</w:t>
      </w:r>
      <w:bookmarkStart w:id="50" w:name="_Toc369531522"/>
      <w:bookmarkStart w:id="51" w:name="_Toc26878"/>
      <w:bookmarkStart w:id="52" w:name="_Toc352691480"/>
      <w:r>
        <w:rPr>
          <w:rFonts w:ascii="Times New Roman" w:hAnsi="Times New Roman"/>
          <w:color w:val="000000"/>
        </w:rPr>
        <w:t>购买招标文件</w:t>
      </w:r>
      <w:bookmarkEnd w:id="50"/>
      <w:bookmarkEnd w:id="51"/>
      <w:bookmarkEnd w:id="52"/>
      <w:r>
        <w:rPr>
          <w:rFonts w:ascii="Times New Roman" w:hAnsi="Times New Roman"/>
          <w:color w:val="000000"/>
        </w:rPr>
        <w:t>的投标人。修改招标文件的时间距本章第4.2.1项规定的投标截止时间不足15日的，并且修改内容可</w:t>
      </w:r>
      <w:bookmarkStart w:id="53" w:name="_Toc144974505"/>
      <w:bookmarkStart w:id="54" w:name="_Toc352691481"/>
      <w:bookmarkStart w:id="55" w:name="_Toc384308217"/>
      <w:bookmarkStart w:id="56" w:name="_Toc247527561"/>
      <w:bookmarkStart w:id="57" w:name="_Toc300834957"/>
      <w:bookmarkStart w:id="58" w:name="_Toc8349"/>
      <w:bookmarkStart w:id="59" w:name="_Toc361508592"/>
      <w:bookmarkStart w:id="60" w:name="_Toc369531523"/>
      <w:bookmarkStart w:id="61" w:name="_Toc152042313"/>
      <w:bookmarkStart w:id="62" w:name="_Toc152045537"/>
      <w:bookmarkStart w:id="63" w:name="_Toc247513960"/>
      <w:r>
        <w:rPr>
          <w:rFonts w:ascii="Times New Roman" w:hAnsi="Times New Roman"/>
          <w:color w:val="000000"/>
        </w:rPr>
        <w:t>能影响投标文</w:t>
      </w:r>
      <w:bookmarkEnd w:id="53"/>
      <w:r>
        <w:rPr>
          <w:rFonts w:ascii="Times New Roman" w:hAnsi="Times New Roman"/>
          <w:color w:val="000000"/>
        </w:rPr>
        <w:t>件编</w:t>
      </w:r>
      <w:bookmarkEnd w:id="54"/>
      <w:bookmarkEnd w:id="55"/>
      <w:bookmarkEnd w:id="56"/>
      <w:bookmarkEnd w:id="57"/>
      <w:bookmarkEnd w:id="58"/>
      <w:bookmarkEnd w:id="59"/>
      <w:bookmarkEnd w:id="60"/>
      <w:bookmarkEnd w:id="61"/>
      <w:bookmarkEnd w:id="62"/>
      <w:bookmarkEnd w:id="63"/>
      <w:r>
        <w:rPr>
          <w:rFonts w:ascii="Times New Roman" w:hAnsi="Times New Roman"/>
          <w:color w:val="000000"/>
        </w:rPr>
        <w:t>制的，将相应延长投标截止时间。</w:t>
      </w:r>
    </w:p>
    <w:p w14:paraId="08BE17F0">
      <w:pPr>
        <w:spacing w:line="400" w:lineRule="exact"/>
        <w:ind w:firstLine="420" w:firstLineChars="200"/>
        <w:rPr>
          <w:rFonts w:ascii="Times New Roman" w:hAnsi="Times New Roman"/>
          <w:color w:val="000000"/>
        </w:rPr>
      </w:pPr>
      <w:r>
        <w:rPr>
          <w:rFonts w:ascii="Times New Roman" w:hAnsi="Times New Roman"/>
          <w:color w:val="000000"/>
        </w:rPr>
        <w:t>2.3.2 投标人收到修改内容</w:t>
      </w:r>
      <w:bookmarkStart w:id="64" w:name="_Toc152045538"/>
      <w:bookmarkStart w:id="65" w:name="_Toc152042314"/>
      <w:bookmarkStart w:id="66" w:name="_Toc24632"/>
      <w:bookmarkStart w:id="67" w:name="_Toc144974506"/>
      <w:bookmarkStart w:id="68" w:name="_Toc352691482"/>
      <w:bookmarkStart w:id="69" w:name="_Toc361508593"/>
      <w:bookmarkStart w:id="70" w:name="_Toc247527562"/>
      <w:bookmarkStart w:id="71" w:name="_Toc384308218"/>
      <w:bookmarkStart w:id="72" w:name="_Toc247513961"/>
      <w:bookmarkStart w:id="73" w:name="_Toc369531524"/>
      <w:bookmarkStart w:id="74" w:name="_Toc300834958"/>
      <w:r>
        <w:rPr>
          <w:rFonts w:ascii="Times New Roman" w:hAnsi="Times New Roman"/>
          <w:color w:val="000000"/>
        </w:rPr>
        <w:t>后，</w:t>
      </w:r>
      <w:bookmarkEnd w:id="64"/>
      <w:bookmarkEnd w:id="65"/>
      <w:bookmarkEnd w:id="66"/>
      <w:bookmarkEnd w:id="67"/>
      <w:bookmarkEnd w:id="68"/>
      <w:bookmarkEnd w:id="69"/>
      <w:bookmarkEnd w:id="70"/>
      <w:bookmarkEnd w:id="71"/>
      <w:bookmarkEnd w:id="72"/>
      <w:bookmarkEnd w:id="73"/>
      <w:bookmarkEnd w:id="74"/>
      <w:r>
        <w:rPr>
          <w:rFonts w:ascii="Times New Roman" w:hAnsi="Times New Roman"/>
          <w:color w:val="000000"/>
        </w:rPr>
        <w:t>应按投标人须知前附表规定的时间和形式通知招标人，确认已收到该修改。</w:t>
      </w:r>
    </w:p>
    <w:p w14:paraId="6D22933F">
      <w:pPr>
        <w:pStyle w:val="4"/>
        <w:spacing w:line="240" w:lineRule="auto"/>
        <w:ind w:firstLine="137"/>
        <w:rPr>
          <w:rFonts w:ascii="Times New Roman" w:hAnsi="Times New Roman"/>
          <w:color w:val="000000"/>
        </w:rPr>
      </w:pPr>
      <w:bookmarkStart w:id="75" w:name="_Toc12288"/>
      <w:r>
        <w:rPr>
          <w:rFonts w:ascii="Times New Roman" w:hAnsi="Times New Roman"/>
          <w:color w:val="000000"/>
        </w:rPr>
        <w:t>2.</w:t>
      </w:r>
      <w:bookmarkEnd w:id="39"/>
      <w:bookmarkEnd w:id="40"/>
      <w:bookmarkEnd w:id="41"/>
      <w:bookmarkEnd w:id="42"/>
      <w:bookmarkEnd w:id="43"/>
      <w:bookmarkEnd w:id="44"/>
      <w:bookmarkEnd w:id="45"/>
      <w:bookmarkEnd w:id="46"/>
      <w:bookmarkEnd w:id="47"/>
      <w:bookmarkEnd w:id="48"/>
      <w:bookmarkEnd w:id="49"/>
      <w:r>
        <w:rPr>
          <w:rFonts w:ascii="Times New Roman" w:hAnsi="Times New Roman"/>
          <w:color w:val="000000"/>
        </w:rPr>
        <w:t>4 招标文件的异议</w:t>
      </w:r>
      <w:bookmarkEnd w:id="75"/>
    </w:p>
    <w:p w14:paraId="6856FE7F">
      <w:pPr>
        <w:spacing w:line="400" w:lineRule="exact"/>
        <w:ind w:firstLine="420" w:firstLineChars="200"/>
        <w:rPr>
          <w:rFonts w:ascii="Times New Roman" w:hAnsi="Times New Roman"/>
          <w:color w:val="000000"/>
        </w:rPr>
      </w:pPr>
      <w:r>
        <w:rPr>
          <w:rFonts w:ascii="Times New Roman" w:hAnsi="Times New Roman"/>
          <w:color w:val="000000"/>
        </w:rPr>
        <w:t>投标人或者其他利害关系人对招标文件有异议的，应当在投标截止时间10日前以书面形式提出。招标人将在收到异议之日起3日内作出答复；作出答复前，暂停招标投标活动。</w:t>
      </w:r>
    </w:p>
    <w:p w14:paraId="4872C51C">
      <w:pPr>
        <w:pStyle w:val="3"/>
        <w:rPr>
          <w:rFonts w:ascii="Times New Roman" w:hAnsi="Times New Roman"/>
          <w:color w:val="000000"/>
        </w:rPr>
      </w:pPr>
      <w:bookmarkStart w:id="76" w:name="_Toc9390"/>
      <w:r>
        <w:rPr>
          <w:rFonts w:ascii="Times New Roman" w:hAnsi="Times New Roman"/>
          <w:color w:val="000000"/>
        </w:rPr>
        <w:t>3. 投标文件</w:t>
      </w:r>
      <w:bookmarkEnd w:id="76"/>
    </w:p>
    <w:p w14:paraId="198DC1BF">
      <w:pPr>
        <w:pStyle w:val="4"/>
        <w:spacing w:line="240" w:lineRule="auto"/>
        <w:ind w:firstLine="137"/>
        <w:rPr>
          <w:rFonts w:ascii="Times New Roman" w:hAnsi="Times New Roman"/>
          <w:color w:val="000000"/>
        </w:rPr>
      </w:pPr>
      <w:bookmarkStart w:id="77" w:name="_Toc18446"/>
      <w:r>
        <w:rPr>
          <w:rFonts w:ascii="Times New Roman" w:hAnsi="Times New Roman"/>
          <w:color w:val="000000"/>
        </w:rPr>
        <w:t>3.1 投标文件的组成</w:t>
      </w:r>
      <w:bookmarkEnd w:id="77"/>
    </w:p>
    <w:p w14:paraId="464463A2">
      <w:pPr>
        <w:spacing w:line="400" w:lineRule="exact"/>
        <w:rPr>
          <w:rFonts w:ascii="Times New Roman" w:hAnsi="Times New Roman"/>
        </w:rPr>
      </w:pPr>
      <w:r>
        <w:rPr>
          <w:rFonts w:ascii="Times New Roman" w:hAnsi="Times New Roman"/>
        </w:rPr>
        <w:t>　　3.1.1 投标文件应包括下列内容：</w:t>
      </w:r>
    </w:p>
    <w:p w14:paraId="26FBBCD9">
      <w:pPr>
        <w:spacing w:line="400" w:lineRule="exact"/>
        <w:ind w:firstLine="420" w:firstLineChars="200"/>
        <w:rPr>
          <w:rFonts w:ascii="Times New Roman" w:hAnsi="Times New Roman"/>
        </w:rPr>
      </w:pPr>
      <w:r>
        <w:rPr>
          <w:rFonts w:ascii="Times New Roman" w:hAnsi="Times New Roman"/>
        </w:rPr>
        <w:t>（1）投标函；</w:t>
      </w:r>
    </w:p>
    <w:p w14:paraId="5D6D996A">
      <w:pPr>
        <w:spacing w:line="400" w:lineRule="exact"/>
        <w:ind w:firstLine="420" w:firstLineChars="200"/>
        <w:rPr>
          <w:rFonts w:ascii="Times New Roman" w:hAnsi="Times New Roman"/>
        </w:rPr>
      </w:pPr>
      <w:r>
        <w:rPr>
          <w:rFonts w:ascii="Times New Roman" w:hAnsi="Times New Roman"/>
        </w:rPr>
        <w:t>（2）法定代表人</w:t>
      </w:r>
      <w:r>
        <w:rPr>
          <w:rFonts w:hint="eastAsia" w:ascii="Times New Roman" w:hAnsi="Times New Roman"/>
          <w:lang w:eastAsia="zh-CN"/>
        </w:rPr>
        <w:t>（</w:t>
      </w:r>
      <w:r>
        <w:rPr>
          <w:rFonts w:hint="eastAsia" w:ascii="Times New Roman" w:hAnsi="Times New Roman"/>
          <w:lang w:val="en-US" w:eastAsia="zh-CN"/>
        </w:rPr>
        <w:t>单位负责人</w:t>
      </w:r>
      <w:r>
        <w:rPr>
          <w:rFonts w:hint="eastAsia" w:ascii="Times New Roman" w:hAnsi="Times New Roman"/>
          <w:lang w:eastAsia="zh-CN"/>
        </w:rPr>
        <w:t>）</w:t>
      </w:r>
      <w:r>
        <w:rPr>
          <w:rFonts w:ascii="Times New Roman" w:hAnsi="Times New Roman"/>
        </w:rPr>
        <w:t>身份证明或授权委托书；</w:t>
      </w:r>
    </w:p>
    <w:p w14:paraId="39292C4F">
      <w:pPr>
        <w:spacing w:line="400" w:lineRule="exact"/>
        <w:ind w:firstLine="420" w:firstLineChars="200"/>
        <w:rPr>
          <w:rFonts w:ascii="Times New Roman" w:hAnsi="Times New Roman"/>
        </w:rPr>
      </w:pPr>
      <w:r>
        <w:rPr>
          <w:rFonts w:ascii="Times New Roman" w:hAnsi="Times New Roman"/>
        </w:rPr>
        <w:t>（3）联合体协议书；</w:t>
      </w:r>
    </w:p>
    <w:p w14:paraId="57C96133">
      <w:pPr>
        <w:spacing w:line="400" w:lineRule="exact"/>
        <w:ind w:firstLine="420" w:firstLineChars="200"/>
        <w:rPr>
          <w:rFonts w:ascii="Times New Roman" w:hAnsi="Times New Roman"/>
        </w:rPr>
      </w:pPr>
      <w:r>
        <w:rPr>
          <w:rFonts w:ascii="Times New Roman" w:hAnsi="Times New Roman"/>
        </w:rPr>
        <w:t>（4）投标保证金；</w:t>
      </w:r>
    </w:p>
    <w:p w14:paraId="3C3013A8">
      <w:pPr>
        <w:spacing w:line="400" w:lineRule="exact"/>
        <w:ind w:firstLine="420" w:firstLineChars="200"/>
        <w:rPr>
          <w:rFonts w:ascii="Times New Roman" w:hAnsi="Times New Roman"/>
          <w:highlight w:val="none"/>
        </w:rPr>
      </w:pPr>
      <w:r>
        <w:rPr>
          <w:rFonts w:ascii="Times New Roman" w:hAnsi="Times New Roman"/>
          <w:highlight w:val="none"/>
        </w:rPr>
        <w:t>（5）商务和技术偏差表；</w:t>
      </w:r>
    </w:p>
    <w:p w14:paraId="754EF046">
      <w:pPr>
        <w:spacing w:line="400" w:lineRule="exact"/>
        <w:ind w:firstLine="420" w:firstLineChars="200"/>
        <w:rPr>
          <w:rFonts w:ascii="Times New Roman" w:hAnsi="Times New Roman"/>
          <w:highlight w:val="none"/>
        </w:rPr>
      </w:pPr>
      <w:r>
        <w:rPr>
          <w:rFonts w:ascii="Times New Roman" w:hAnsi="Times New Roman"/>
          <w:highlight w:val="none"/>
        </w:rPr>
        <w:t>（6）分项报价表；</w:t>
      </w:r>
    </w:p>
    <w:p w14:paraId="12EE04FC">
      <w:pPr>
        <w:spacing w:line="400" w:lineRule="exact"/>
        <w:ind w:firstLine="420" w:firstLineChars="200"/>
        <w:rPr>
          <w:rFonts w:ascii="Times New Roman" w:hAnsi="Times New Roman"/>
          <w:highlight w:val="none"/>
        </w:rPr>
      </w:pPr>
      <w:r>
        <w:rPr>
          <w:rFonts w:ascii="Times New Roman" w:hAnsi="Times New Roman"/>
          <w:highlight w:val="none"/>
        </w:rPr>
        <w:t>（7）资格审查资料；</w:t>
      </w:r>
    </w:p>
    <w:p w14:paraId="410640F3">
      <w:pPr>
        <w:spacing w:line="400" w:lineRule="exact"/>
        <w:ind w:firstLine="420" w:firstLineChars="200"/>
        <w:rPr>
          <w:rFonts w:ascii="Times New Roman" w:hAnsi="Times New Roman"/>
          <w:highlight w:val="none"/>
        </w:rPr>
      </w:pPr>
      <w:r>
        <w:rPr>
          <w:rFonts w:ascii="Times New Roman" w:hAnsi="Times New Roman"/>
          <w:highlight w:val="none"/>
        </w:rPr>
        <w:t>（8）投标材料质量标准的详细描述；</w:t>
      </w:r>
    </w:p>
    <w:p w14:paraId="0D719371">
      <w:pPr>
        <w:spacing w:line="400" w:lineRule="exact"/>
        <w:ind w:firstLine="420" w:firstLineChars="200"/>
        <w:rPr>
          <w:rFonts w:ascii="Times New Roman" w:hAnsi="Times New Roman"/>
          <w:highlight w:val="none"/>
        </w:rPr>
      </w:pPr>
      <w:r>
        <w:rPr>
          <w:rFonts w:ascii="Times New Roman" w:hAnsi="Times New Roman"/>
          <w:highlight w:val="none"/>
        </w:rPr>
        <w:t>（9）技术支持资料；</w:t>
      </w:r>
    </w:p>
    <w:p w14:paraId="424C95C3">
      <w:pPr>
        <w:spacing w:line="400" w:lineRule="exact"/>
        <w:ind w:firstLine="420" w:firstLineChars="200"/>
        <w:rPr>
          <w:rFonts w:ascii="Times New Roman" w:hAnsi="Times New Roman"/>
          <w:highlight w:val="none"/>
        </w:rPr>
      </w:pPr>
      <w:r>
        <w:rPr>
          <w:rFonts w:ascii="Times New Roman" w:hAnsi="Times New Roman"/>
          <w:highlight w:val="none"/>
        </w:rPr>
        <w:t>（10）相关服务计划；</w:t>
      </w:r>
    </w:p>
    <w:p w14:paraId="57723A52">
      <w:pPr>
        <w:spacing w:line="400" w:lineRule="exact"/>
        <w:ind w:firstLine="420" w:firstLineChars="200"/>
        <w:rPr>
          <w:rFonts w:ascii="Times New Roman" w:hAnsi="Times New Roman"/>
        </w:rPr>
      </w:pPr>
      <w:r>
        <w:rPr>
          <w:rFonts w:ascii="Times New Roman" w:hAnsi="Times New Roman"/>
        </w:rPr>
        <w:t>（11）投标人须知前附表规定的其他资料。</w:t>
      </w:r>
    </w:p>
    <w:p w14:paraId="31EA1663">
      <w:pPr>
        <w:spacing w:line="400" w:lineRule="exact"/>
        <w:ind w:firstLine="420" w:firstLineChars="200"/>
        <w:rPr>
          <w:rFonts w:ascii="Times New Roman" w:hAnsi="Times New Roman"/>
        </w:rPr>
      </w:pPr>
      <w:r>
        <w:rPr>
          <w:rFonts w:ascii="Times New Roman" w:hAnsi="Times New Roman"/>
        </w:rPr>
        <w:t>投标人在评标过程中作出的符合法律法规和招标文件规定的澄清确认，构成投标文件的组成部分。</w:t>
      </w:r>
    </w:p>
    <w:p w14:paraId="7C86D0C2">
      <w:pPr>
        <w:spacing w:line="400" w:lineRule="exact"/>
        <w:ind w:firstLine="359" w:firstLineChars="171"/>
        <w:rPr>
          <w:rFonts w:ascii="Times New Roman" w:hAnsi="Times New Roman"/>
        </w:rPr>
      </w:pPr>
      <w:r>
        <w:rPr>
          <w:rFonts w:ascii="Times New Roman" w:hAnsi="Times New Roman"/>
        </w:rPr>
        <w:t>3.1.2 投标人须知前附表规定不接受联合体投标的，或投标人没有组成联合体的，投标文件不包括本章第3.1.1（3）目所指的联合体协议书。</w:t>
      </w:r>
    </w:p>
    <w:p w14:paraId="55EF99BD">
      <w:pPr>
        <w:spacing w:line="400" w:lineRule="exact"/>
        <w:ind w:firstLine="359" w:firstLineChars="171"/>
        <w:rPr>
          <w:rFonts w:ascii="Times New Roman" w:hAnsi="Times New Roman"/>
          <w:color w:val="000000"/>
        </w:rPr>
      </w:pPr>
      <w:r>
        <w:rPr>
          <w:rFonts w:ascii="Times New Roman" w:hAnsi="Times New Roman"/>
        </w:rPr>
        <w:t>3.1.3 投标人须知前附表未要求提交投标保证金的，投标文件不包括本章第3.1.1（4）目所指的投标保证金。</w:t>
      </w:r>
    </w:p>
    <w:p w14:paraId="3B23C0B9">
      <w:pPr>
        <w:pStyle w:val="4"/>
        <w:spacing w:line="240" w:lineRule="auto"/>
        <w:ind w:firstLine="137"/>
        <w:rPr>
          <w:rFonts w:ascii="Times New Roman" w:hAnsi="Times New Roman"/>
          <w:color w:val="000000"/>
        </w:rPr>
      </w:pPr>
      <w:bookmarkStart w:id="78" w:name="_Toc28515"/>
      <w:r>
        <w:rPr>
          <w:rFonts w:ascii="Times New Roman" w:hAnsi="Times New Roman"/>
          <w:color w:val="000000"/>
        </w:rPr>
        <w:t>3.2 投标报价</w:t>
      </w:r>
      <w:bookmarkEnd w:id="78"/>
    </w:p>
    <w:p w14:paraId="646CB974">
      <w:pPr>
        <w:spacing w:line="400" w:lineRule="exact"/>
        <w:ind w:firstLine="420" w:firstLineChars="200"/>
        <w:rPr>
          <w:rFonts w:ascii="Times New Roman" w:hAnsi="Times New Roman"/>
        </w:rPr>
      </w:pPr>
      <w:r>
        <w:rPr>
          <w:rFonts w:ascii="Times New Roman" w:hAnsi="Times New Roman"/>
        </w:rPr>
        <w:t>3.2.1</w:t>
      </w:r>
      <w:r>
        <w:rPr>
          <w:rFonts w:hint="eastAsia" w:ascii="Times New Roman" w:hAnsi="Times New Roman"/>
        </w:rPr>
        <w:t xml:space="preserve"> </w:t>
      </w:r>
      <w:r>
        <w:rPr>
          <w:rFonts w:ascii="Times New Roman" w:hAnsi="Times New Roman"/>
        </w:rPr>
        <w:t>投标报价应包括国家规定的增值税税金，除投标人须知前附表另有规定外，增值税税金按一般计税方法计算。投标人应按第六章“投标文件格式”的要求在投标函中进行报价并填写分项报价表。</w:t>
      </w:r>
    </w:p>
    <w:p w14:paraId="4FEEF7A9">
      <w:pPr>
        <w:spacing w:line="400" w:lineRule="exact"/>
        <w:ind w:firstLine="420" w:firstLineChars="200"/>
        <w:rPr>
          <w:rFonts w:ascii="Times New Roman" w:hAnsi="Times New Roman"/>
        </w:rPr>
      </w:pPr>
      <w:r>
        <w:rPr>
          <w:rFonts w:ascii="Times New Roman" w:hAnsi="Times New Roman"/>
        </w:rPr>
        <w:t>3.2.2 投标人应充分了解该项目的总体情况以及影响投标报价的其他要素。</w:t>
      </w:r>
    </w:p>
    <w:p w14:paraId="36549A30">
      <w:pPr>
        <w:spacing w:line="400" w:lineRule="exact"/>
        <w:ind w:firstLine="420" w:firstLineChars="200"/>
        <w:rPr>
          <w:rFonts w:ascii="Times New Roman" w:hAnsi="Times New Roman"/>
        </w:rPr>
      </w:pPr>
      <w:r>
        <w:rPr>
          <w:rFonts w:ascii="Times New Roman" w:hAnsi="Times New Roman"/>
        </w:rPr>
        <w:t>3.2.3</w:t>
      </w:r>
      <w:bookmarkStart w:id="79" w:name="_Toc152042319"/>
      <w:bookmarkEnd w:id="79"/>
      <w:bookmarkStart w:id="80" w:name="_Toc369531530"/>
      <w:bookmarkEnd w:id="80"/>
      <w:bookmarkStart w:id="81" w:name="_Toc300834964"/>
      <w:bookmarkEnd w:id="81"/>
      <w:bookmarkStart w:id="82" w:name="_Toc152045543"/>
      <w:bookmarkEnd w:id="82"/>
      <w:bookmarkStart w:id="83" w:name="_Toc361508599"/>
      <w:bookmarkEnd w:id="83"/>
      <w:bookmarkStart w:id="84" w:name="_Toc15242"/>
      <w:bookmarkEnd w:id="84"/>
      <w:bookmarkStart w:id="85" w:name="_Toc384308224"/>
      <w:bookmarkEnd w:id="85"/>
      <w:bookmarkStart w:id="86" w:name="_Toc247527568"/>
      <w:bookmarkEnd w:id="86"/>
      <w:bookmarkStart w:id="87" w:name="_Toc352691487"/>
      <w:bookmarkEnd w:id="87"/>
      <w:bookmarkStart w:id="88" w:name="_Toc247513967"/>
      <w:bookmarkEnd w:id="88"/>
      <w:bookmarkStart w:id="89" w:name="_Toc144974511"/>
      <w:bookmarkEnd w:id="89"/>
      <w:r>
        <w:rPr>
          <w:rFonts w:ascii="Times New Roman" w:hAnsi="Times New Roman"/>
          <w:color w:val="000000"/>
        </w:rPr>
        <w:t>投标报价为各分项报价金额之和，投标报价与分项报价的合价不一致的，应以各分项合价累计数为准，修正投标报价；</w:t>
      </w:r>
      <w:r>
        <w:rPr>
          <w:rFonts w:ascii="Times New Roman" w:hAnsi="Times New Roman"/>
        </w:rPr>
        <w:t>如分项</w:t>
      </w:r>
      <w:r>
        <w:rPr>
          <w:rFonts w:ascii="Times New Roman" w:hAnsi="Times New Roman"/>
          <w:color w:val="000000"/>
        </w:rPr>
        <w:t>报价中存在缺漏项，则视为缺漏项价格已包含在其他分项报价之中。</w:t>
      </w:r>
      <w:r>
        <w:rPr>
          <w:rFonts w:ascii="Times New Roman" w:hAnsi="Times New Roman"/>
        </w:rPr>
        <w:t>投标人在投标截止时间前修改投标函中的投标报价总额，应同时修改投标文件“分项报价表”中的相应报价。此修改须符合本章第4.3款的有关要求。</w:t>
      </w:r>
    </w:p>
    <w:p w14:paraId="62BB86EA">
      <w:pPr>
        <w:spacing w:line="400" w:lineRule="exact"/>
        <w:ind w:firstLine="420" w:firstLineChars="200"/>
        <w:rPr>
          <w:rFonts w:ascii="Times New Roman" w:hAnsi="Times New Roman"/>
          <w:color w:val="000000"/>
        </w:rPr>
      </w:pPr>
      <w:r>
        <w:rPr>
          <w:rFonts w:ascii="Times New Roman" w:hAnsi="Times New Roman"/>
        </w:rPr>
        <w:t>3.2.4</w:t>
      </w:r>
      <w:r>
        <w:rPr>
          <w:rFonts w:hint="eastAsia" w:ascii="Times New Roman" w:hAnsi="Times New Roman"/>
        </w:rPr>
        <w:t xml:space="preserve"> </w:t>
      </w:r>
      <w:r>
        <w:rPr>
          <w:rFonts w:ascii="Times New Roman" w:hAnsi="Times New Roman"/>
        </w:rPr>
        <w:t>招标人设有最高投标限价的，投标人的投标报价不得超过最高投标限价，最高投标限价在投标</w:t>
      </w:r>
      <w:bookmarkStart w:id="90" w:name="_Toc361508600"/>
      <w:bookmarkStart w:id="91" w:name="_Toc384308225"/>
      <w:bookmarkStart w:id="92" w:name="_Toc352691488"/>
      <w:bookmarkStart w:id="93" w:name="_Toc152042320"/>
      <w:bookmarkStart w:id="94" w:name="_Toc247513968"/>
      <w:bookmarkStart w:id="95" w:name="_Toc247527569"/>
      <w:bookmarkStart w:id="96" w:name="_Toc144974512"/>
      <w:bookmarkStart w:id="97" w:name="_Toc10429"/>
      <w:bookmarkStart w:id="98" w:name="_Toc152045544"/>
      <w:bookmarkStart w:id="99" w:name="_Toc369531531"/>
      <w:bookmarkStart w:id="100" w:name="_Toc300834965"/>
      <w:r>
        <w:rPr>
          <w:rFonts w:ascii="Times New Roman" w:hAnsi="Times New Roman"/>
        </w:rPr>
        <w:t>人须知前附表中载明。</w:t>
      </w:r>
      <w:bookmarkEnd w:id="90"/>
      <w:bookmarkEnd w:id="91"/>
      <w:bookmarkEnd w:id="92"/>
      <w:bookmarkEnd w:id="93"/>
      <w:bookmarkEnd w:id="94"/>
      <w:bookmarkEnd w:id="95"/>
      <w:bookmarkEnd w:id="96"/>
      <w:bookmarkEnd w:id="97"/>
      <w:bookmarkEnd w:id="98"/>
      <w:bookmarkEnd w:id="99"/>
      <w:bookmarkEnd w:id="100"/>
    </w:p>
    <w:p w14:paraId="01D67DB8">
      <w:pPr>
        <w:spacing w:line="400" w:lineRule="exact"/>
        <w:ind w:firstLine="420" w:firstLineChars="200"/>
        <w:rPr>
          <w:rFonts w:ascii="Times New Roman" w:hAnsi="Times New Roman"/>
          <w:color w:val="000000"/>
        </w:rPr>
      </w:pPr>
      <w:r>
        <w:rPr>
          <w:rFonts w:ascii="Times New Roman" w:hAnsi="Times New Roman"/>
          <w:color w:val="000000"/>
        </w:rPr>
        <w:t>3.2.</w:t>
      </w:r>
      <w:r>
        <w:rPr>
          <w:rFonts w:hint="eastAsia" w:ascii="Times New Roman" w:hAnsi="Times New Roman"/>
          <w:color w:val="000000"/>
        </w:rPr>
        <w:t>5</w:t>
      </w:r>
      <w:r>
        <w:rPr>
          <w:rFonts w:ascii="Times New Roman" w:hAnsi="Times New Roman"/>
          <w:color w:val="000000"/>
        </w:rPr>
        <w:t xml:space="preserve"> 投标报价的其他要求见投标人须知前附表。</w:t>
      </w:r>
    </w:p>
    <w:p w14:paraId="53A75CAA">
      <w:pPr>
        <w:pStyle w:val="4"/>
        <w:spacing w:line="240" w:lineRule="auto"/>
        <w:ind w:firstLine="137"/>
        <w:rPr>
          <w:rFonts w:ascii="Times New Roman" w:hAnsi="Times New Roman"/>
          <w:color w:val="000000"/>
        </w:rPr>
      </w:pPr>
      <w:bookmarkStart w:id="101" w:name="_Toc17403"/>
      <w:r>
        <w:rPr>
          <w:rFonts w:ascii="Times New Roman" w:hAnsi="Times New Roman"/>
          <w:color w:val="000000"/>
        </w:rPr>
        <w:t>3.3 投标有效期</w:t>
      </w:r>
      <w:bookmarkEnd w:id="101"/>
    </w:p>
    <w:p w14:paraId="33EB1D50">
      <w:pPr>
        <w:spacing w:line="400" w:lineRule="exact"/>
        <w:ind w:firstLine="420" w:firstLineChars="200"/>
        <w:rPr>
          <w:rFonts w:ascii="Times New Roman" w:hAnsi="Times New Roman"/>
          <w:color w:val="000000"/>
        </w:rPr>
      </w:pPr>
      <w:r>
        <w:rPr>
          <w:rFonts w:ascii="Times New Roman" w:hAnsi="Times New Roman"/>
          <w:color w:val="000000"/>
        </w:rPr>
        <w:t>3.3.1 除</w:t>
      </w:r>
      <w:r>
        <w:rPr>
          <w:rFonts w:ascii="Times New Roman" w:hAnsi="Times New Roman"/>
        </w:rPr>
        <w:t>投标人须知前附表另有规定外，投标有效期为90天</w:t>
      </w:r>
      <w:r>
        <w:rPr>
          <w:rFonts w:ascii="Times New Roman" w:hAnsi="Times New Roman"/>
          <w:color w:val="000000"/>
        </w:rPr>
        <w:t>。</w:t>
      </w:r>
    </w:p>
    <w:p w14:paraId="45478231">
      <w:pPr>
        <w:spacing w:line="400" w:lineRule="exact"/>
        <w:ind w:firstLine="420" w:firstLineChars="200"/>
        <w:rPr>
          <w:rFonts w:ascii="Times New Roman" w:hAnsi="Times New Roman"/>
          <w:color w:val="000000"/>
        </w:rPr>
      </w:pPr>
      <w:r>
        <w:rPr>
          <w:rFonts w:ascii="Times New Roman" w:hAnsi="Times New Roman"/>
          <w:color w:val="000000"/>
        </w:rPr>
        <w:t>3.3.2 在投标有效期内，投标人撤销投标文件的，应承担招标文件和法律规定的责任。</w:t>
      </w:r>
    </w:p>
    <w:p w14:paraId="25E0EAE2">
      <w:pPr>
        <w:spacing w:line="400" w:lineRule="exact"/>
        <w:ind w:firstLine="420" w:firstLineChars="200"/>
        <w:rPr>
          <w:rFonts w:ascii="Times New Roman" w:hAnsi="Times New Roman"/>
        </w:rPr>
      </w:pPr>
      <w:r>
        <w:rPr>
          <w:rFonts w:ascii="Times New Roman" w:hAnsi="Times New Roman"/>
          <w:color w:val="000000"/>
        </w:rPr>
        <w:t>3.3.3 出现特殊情况需要延长投标有效期的，招标人以书面形式通知所有投标人延长投标有效期。投标人应予以书面答复，同意延长的，应相应延长其投标保证金的有效期，但不得要求或被允许修改其投标文件；投标人拒绝延长的，其投标失效，但投标</w:t>
      </w:r>
      <w:r>
        <w:rPr>
          <w:rFonts w:ascii="Times New Roman" w:hAnsi="Times New Roman"/>
        </w:rPr>
        <w:t>人有权收回其投标保证金及以现金或者支票形式递交的投标保证金的银行同期存款利息。</w:t>
      </w:r>
    </w:p>
    <w:p w14:paraId="4EE83319">
      <w:pPr>
        <w:pStyle w:val="4"/>
        <w:spacing w:line="240" w:lineRule="auto"/>
        <w:ind w:firstLine="137"/>
        <w:rPr>
          <w:rFonts w:ascii="Times New Roman" w:hAnsi="Times New Roman"/>
          <w:color w:val="000000"/>
        </w:rPr>
      </w:pPr>
      <w:bookmarkStart w:id="102" w:name="_Toc10652"/>
      <w:r>
        <w:rPr>
          <w:rFonts w:ascii="Times New Roman" w:hAnsi="Times New Roman"/>
          <w:color w:val="000000"/>
        </w:rPr>
        <w:t>3.4 投标保证金</w:t>
      </w:r>
      <w:bookmarkEnd w:id="102"/>
    </w:p>
    <w:p w14:paraId="684EE176">
      <w:pPr>
        <w:spacing w:line="400" w:lineRule="exact"/>
        <w:ind w:firstLine="420" w:firstLineChars="200"/>
        <w:rPr>
          <w:rFonts w:ascii="Times New Roman" w:hAnsi="Times New Roman"/>
          <w:color w:val="000000"/>
        </w:rPr>
      </w:pPr>
      <w:r>
        <w:rPr>
          <w:rFonts w:ascii="Times New Roman" w:hAnsi="Times New Roman"/>
          <w:color w:val="000000"/>
        </w:rPr>
        <w:t>3.4.1 投标人在递交投标文件的同时，应按投标人须知前附表规定的金额</w:t>
      </w:r>
      <w:bookmarkStart w:id="103" w:name="_Toc144974513"/>
      <w:bookmarkStart w:id="104" w:name="_Toc152042321"/>
      <w:bookmarkStart w:id="105" w:name="_Toc152045545"/>
      <w:bookmarkStart w:id="106" w:name="_Toc4592"/>
      <w:bookmarkStart w:id="107" w:name="_Toc369531532"/>
      <w:bookmarkStart w:id="108" w:name="_Toc300834966"/>
      <w:bookmarkStart w:id="109" w:name="_Toc384308226"/>
      <w:bookmarkStart w:id="110" w:name="_Toc247527570"/>
      <w:bookmarkStart w:id="111" w:name="_Toc361508601"/>
      <w:bookmarkStart w:id="112" w:name="_Toc352691489"/>
      <w:bookmarkStart w:id="113" w:name="_Toc247513969"/>
      <w:r>
        <w:rPr>
          <w:rFonts w:ascii="Times New Roman" w:hAnsi="Times New Roman"/>
          <w:color w:val="000000"/>
        </w:rPr>
        <w:t>、形式和第六章“投标文</w:t>
      </w:r>
      <w:bookmarkEnd w:id="103"/>
      <w:bookmarkEnd w:id="104"/>
      <w:bookmarkEnd w:id="105"/>
      <w:bookmarkEnd w:id="106"/>
      <w:bookmarkEnd w:id="107"/>
      <w:bookmarkEnd w:id="108"/>
      <w:bookmarkEnd w:id="109"/>
      <w:bookmarkEnd w:id="110"/>
      <w:bookmarkEnd w:id="111"/>
      <w:bookmarkEnd w:id="112"/>
      <w:bookmarkEnd w:id="113"/>
      <w:r>
        <w:rPr>
          <w:rFonts w:ascii="Times New Roman" w:hAnsi="Times New Roman"/>
          <w:color w:val="000000"/>
        </w:rPr>
        <w:t>件格式”规定的投标保证金格式递交投标保证金，并作为其投标文件的组成部分。境内投标人以现金或者支票形式提交的投标保证金，应当从其基本账户转出并在投标文件中附上基本账户开户证明。联合体投标的，其投标保证金可以由牵头人递交，并应符合投标人须知前附表的规定。</w:t>
      </w:r>
    </w:p>
    <w:p w14:paraId="01DA6AD9">
      <w:pPr>
        <w:spacing w:line="400" w:lineRule="exact"/>
        <w:ind w:firstLine="420" w:firstLineChars="200"/>
        <w:jc w:val="left"/>
        <w:rPr>
          <w:rFonts w:ascii="Times New Roman" w:hAnsi="Times New Roman"/>
          <w:color w:val="000000"/>
        </w:rPr>
      </w:pPr>
      <w:r>
        <w:rPr>
          <w:rFonts w:ascii="Times New Roman" w:hAnsi="Times New Roman"/>
          <w:color w:val="000000"/>
        </w:rPr>
        <w:t>3.4.2 投标人不按本章第3.4.1项</w:t>
      </w:r>
      <w:bookmarkStart w:id="114" w:name="_Toc29025"/>
      <w:bookmarkStart w:id="115" w:name="_Toc384308227"/>
      <w:bookmarkStart w:id="116" w:name="_Toc369531533"/>
      <w:bookmarkStart w:id="117" w:name="_Toc361508602"/>
      <w:bookmarkStart w:id="118" w:name="_Toc352691490"/>
      <w:r>
        <w:rPr>
          <w:rFonts w:ascii="Times New Roman" w:hAnsi="Times New Roman"/>
          <w:color w:val="000000"/>
        </w:rPr>
        <w:t>要求提交投标保证金的，</w:t>
      </w:r>
      <w:bookmarkEnd w:id="114"/>
      <w:bookmarkEnd w:id="115"/>
      <w:bookmarkEnd w:id="116"/>
      <w:bookmarkEnd w:id="117"/>
      <w:bookmarkEnd w:id="118"/>
      <w:r>
        <w:rPr>
          <w:rFonts w:hint="eastAsia" w:ascii="Times New Roman" w:hAnsi="Times New Roman"/>
          <w:color w:val="auto"/>
          <w:sz w:val="21"/>
          <w:szCs w:val="21"/>
          <w:highlight w:val="none"/>
        </w:rPr>
        <w:t>招标人将予以拒收</w:t>
      </w:r>
      <w:r>
        <w:rPr>
          <w:rFonts w:hint="eastAsia" w:ascii="Times New Roman" w:hAnsi="Times New Roman"/>
          <w:color w:val="auto"/>
          <w:sz w:val="21"/>
          <w:szCs w:val="21"/>
          <w:highlight w:val="none"/>
          <w:lang w:val="en-US" w:eastAsia="zh-CN"/>
        </w:rPr>
        <w:t>其投标文件</w:t>
      </w:r>
      <w:r>
        <w:rPr>
          <w:rFonts w:ascii="Times New Roman" w:hAnsi="Times New Roman"/>
          <w:color w:val="000000"/>
        </w:rPr>
        <w:t>。</w:t>
      </w:r>
    </w:p>
    <w:p w14:paraId="33230C61">
      <w:pPr>
        <w:spacing w:line="400" w:lineRule="exact"/>
        <w:ind w:firstLine="420" w:firstLineChars="200"/>
        <w:rPr>
          <w:rFonts w:ascii="Times New Roman" w:hAnsi="Times New Roman"/>
          <w:color w:val="000000"/>
        </w:rPr>
      </w:pPr>
      <w:r>
        <w:rPr>
          <w:rFonts w:ascii="Times New Roman" w:hAnsi="Times New Roman"/>
          <w:color w:val="000000"/>
        </w:rPr>
        <w:t>3.4.3 招标人最迟将在与中标人</w:t>
      </w:r>
      <w:bookmarkStart w:id="119" w:name="_Toc384308228"/>
      <w:bookmarkStart w:id="120" w:name="_Toc352691491"/>
      <w:bookmarkStart w:id="121" w:name="_Toc300834967"/>
      <w:bookmarkStart w:id="122" w:name="_Toc144974514"/>
      <w:bookmarkStart w:id="123" w:name="_Toc14751"/>
      <w:bookmarkStart w:id="124" w:name="_Toc361508603"/>
      <w:bookmarkStart w:id="125" w:name="_Toc247527571"/>
      <w:bookmarkStart w:id="126" w:name="_Toc369531534"/>
      <w:bookmarkStart w:id="127" w:name="_Toc152045546"/>
      <w:bookmarkStart w:id="128" w:name="_Toc152042322"/>
      <w:bookmarkStart w:id="129" w:name="_Toc247513970"/>
      <w:r>
        <w:rPr>
          <w:rFonts w:ascii="Times New Roman" w:hAnsi="Times New Roman"/>
          <w:color w:val="000000"/>
        </w:rPr>
        <w:t>签订合同后5日</w:t>
      </w:r>
      <w:bookmarkEnd w:id="119"/>
      <w:bookmarkEnd w:id="120"/>
      <w:bookmarkEnd w:id="121"/>
      <w:bookmarkEnd w:id="122"/>
      <w:bookmarkEnd w:id="123"/>
      <w:bookmarkEnd w:id="124"/>
      <w:bookmarkEnd w:id="125"/>
      <w:bookmarkEnd w:id="126"/>
      <w:bookmarkEnd w:id="127"/>
      <w:bookmarkEnd w:id="128"/>
      <w:bookmarkEnd w:id="129"/>
      <w:r>
        <w:rPr>
          <w:rFonts w:ascii="Times New Roman" w:hAnsi="Times New Roman"/>
          <w:color w:val="000000"/>
        </w:rPr>
        <w:t>内</w:t>
      </w:r>
      <w:bookmarkStart w:id="130" w:name="_Toc152042323"/>
      <w:bookmarkStart w:id="131" w:name="_Toc384308229"/>
      <w:bookmarkStart w:id="132" w:name="_Toc300834968"/>
      <w:bookmarkStart w:id="133" w:name="_Toc369531535"/>
      <w:bookmarkStart w:id="134" w:name="_Toc247527572"/>
      <w:bookmarkStart w:id="135" w:name="_Toc361508604"/>
      <w:bookmarkStart w:id="136" w:name="_Toc247513971"/>
      <w:bookmarkStart w:id="137" w:name="_Toc144974515"/>
      <w:bookmarkStart w:id="138" w:name="_Toc152045547"/>
      <w:bookmarkStart w:id="139" w:name="_Toc352691492"/>
      <w:bookmarkStart w:id="140" w:name="_Toc17952"/>
      <w:r>
        <w:rPr>
          <w:rFonts w:ascii="Times New Roman" w:hAnsi="Times New Roman"/>
          <w:color w:val="000000"/>
        </w:rPr>
        <w:t>，向未中标的投标人和中</w:t>
      </w:r>
      <w:bookmarkEnd w:id="130"/>
      <w:bookmarkEnd w:id="131"/>
      <w:bookmarkEnd w:id="132"/>
      <w:bookmarkEnd w:id="133"/>
      <w:bookmarkEnd w:id="134"/>
      <w:bookmarkEnd w:id="135"/>
      <w:bookmarkEnd w:id="136"/>
      <w:bookmarkEnd w:id="137"/>
      <w:bookmarkEnd w:id="138"/>
      <w:bookmarkEnd w:id="139"/>
      <w:bookmarkEnd w:id="140"/>
      <w:r>
        <w:rPr>
          <w:rFonts w:ascii="Times New Roman" w:hAnsi="Times New Roman"/>
          <w:color w:val="000000"/>
        </w:rPr>
        <w:t>标人退还投标保证金。投标保证金以现金或者支票形式递交的，还应退还银行同期存款利息。</w:t>
      </w:r>
    </w:p>
    <w:p w14:paraId="29EB7085">
      <w:pPr>
        <w:spacing w:line="400" w:lineRule="exact"/>
        <w:ind w:firstLine="420" w:firstLineChars="200"/>
        <w:rPr>
          <w:rFonts w:ascii="Times New Roman" w:hAnsi="Times New Roman"/>
          <w:color w:val="000000"/>
        </w:rPr>
      </w:pPr>
      <w:r>
        <w:rPr>
          <w:rFonts w:ascii="Times New Roman" w:hAnsi="Times New Roman"/>
          <w:color w:val="000000"/>
        </w:rPr>
        <w:t>3.4.4 有下列情形之一的，投标保证金将不予退还：</w:t>
      </w:r>
    </w:p>
    <w:p w14:paraId="64175D29">
      <w:pPr>
        <w:spacing w:line="400" w:lineRule="exact"/>
        <w:ind w:firstLine="315" w:firstLineChars="150"/>
        <w:rPr>
          <w:rFonts w:ascii="Times New Roman" w:hAnsi="Times New Roman"/>
          <w:color w:val="000000"/>
        </w:rPr>
      </w:pPr>
      <w:r>
        <w:rPr>
          <w:rFonts w:ascii="Times New Roman" w:hAnsi="Times New Roman"/>
          <w:color w:val="000000"/>
        </w:rPr>
        <w:t>（1）投标人在投标有效期内撤销投标文件；</w:t>
      </w:r>
    </w:p>
    <w:p w14:paraId="08245088">
      <w:pPr>
        <w:spacing w:line="400" w:lineRule="exact"/>
        <w:ind w:firstLine="315" w:firstLineChars="150"/>
        <w:rPr>
          <w:rFonts w:ascii="Times New Roman" w:hAnsi="Times New Roman"/>
          <w:color w:val="000000"/>
        </w:rPr>
      </w:pPr>
      <w:r>
        <w:rPr>
          <w:rFonts w:ascii="Times New Roman" w:hAnsi="Times New Roman"/>
          <w:color w:val="000000"/>
        </w:rPr>
        <w:t>（2）中标人在收到中标通知书后，无正当理由不与招标人订立合同，在签订合同时向招标人提出附加条件，或者不按照招标文件要求提交履约保证金；</w:t>
      </w:r>
    </w:p>
    <w:p w14:paraId="5073220D">
      <w:pPr>
        <w:spacing w:line="400" w:lineRule="exact"/>
        <w:ind w:firstLine="315" w:firstLineChars="150"/>
        <w:rPr>
          <w:rFonts w:ascii="Times New Roman" w:hAnsi="Times New Roman"/>
          <w:color w:val="000000"/>
        </w:rPr>
      </w:pPr>
      <w:r>
        <w:rPr>
          <w:rFonts w:ascii="Times New Roman" w:hAnsi="Times New Roman"/>
          <w:color w:val="000000"/>
        </w:rPr>
        <w:t>（3）发生投标人须知前附表</w:t>
      </w:r>
      <w:r>
        <w:rPr>
          <w:rFonts w:ascii="Times New Roman" w:hAnsi="Times New Roman"/>
          <w:szCs w:val="21"/>
        </w:rPr>
        <w:t>规定的其他可以不予退还投标保证金的情形。</w:t>
      </w:r>
    </w:p>
    <w:p w14:paraId="792343D8">
      <w:pPr>
        <w:pStyle w:val="4"/>
        <w:spacing w:line="240" w:lineRule="auto"/>
        <w:ind w:firstLine="137"/>
        <w:rPr>
          <w:rFonts w:ascii="Times New Roman" w:hAnsi="Times New Roman"/>
          <w:color w:val="000000"/>
        </w:rPr>
      </w:pPr>
      <w:bookmarkStart w:id="141" w:name="_Toc17642"/>
      <w:r>
        <w:rPr>
          <w:rFonts w:ascii="Times New Roman" w:hAnsi="Times New Roman"/>
          <w:color w:val="000000"/>
        </w:rPr>
        <w:t>3.5 资格审查资料</w:t>
      </w:r>
      <w:bookmarkEnd w:id="141"/>
    </w:p>
    <w:p w14:paraId="2C501770">
      <w:pPr>
        <w:spacing w:line="400" w:lineRule="exact"/>
        <w:ind w:firstLine="420" w:firstLineChars="200"/>
        <w:rPr>
          <w:rFonts w:ascii="Times New Roman" w:hAnsi="Times New Roman"/>
        </w:rPr>
      </w:pPr>
      <w:r>
        <w:rPr>
          <w:rFonts w:ascii="Times New Roman" w:hAnsi="Times New Roman"/>
        </w:rPr>
        <w:t>除投标人须知前附表另有规定外，投标人应按下列规定提供资格审查资料，以证明其满足本章第1.4款规定的</w:t>
      </w:r>
      <w:r>
        <w:rPr>
          <w:rFonts w:ascii="Times New Roman" w:hAnsi="Times New Roman"/>
          <w:color w:val="000000"/>
        </w:rPr>
        <w:t>资质、财务、业绩、信誉等要求。</w:t>
      </w:r>
    </w:p>
    <w:p w14:paraId="63413B7A">
      <w:pPr>
        <w:spacing w:line="400" w:lineRule="exact"/>
        <w:ind w:firstLine="420" w:firstLineChars="200"/>
        <w:rPr>
          <w:rFonts w:ascii="Times New Roman" w:hAnsi="Times New Roman"/>
        </w:rPr>
      </w:pPr>
      <w:r>
        <w:rPr>
          <w:rFonts w:ascii="Times New Roman" w:hAnsi="Times New Roman"/>
        </w:rPr>
        <w:t>3.5.1 “投标人基本情况表”应附投标人及其制造商（适用于代理经销商投标的情形）资格或者资质证书副本和投标材料检验或认证等材料的复印件以及：</w:t>
      </w:r>
    </w:p>
    <w:p w14:paraId="3D5AA44C">
      <w:pPr>
        <w:spacing w:line="400" w:lineRule="exact"/>
        <w:ind w:firstLine="420" w:firstLineChars="200"/>
        <w:rPr>
          <w:rFonts w:ascii="Times New Roman" w:hAnsi="Times New Roman"/>
          <w:color w:val="000000"/>
        </w:rPr>
      </w:pPr>
      <w:r>
        <w:rPr>
          <w:rFonts w:ascii="Times New Roman" w:hAnsi="Times New Roman"/>
          <w:color w:val="000000"/>
        </w:rPr>
        <w:t>（1）投标人为企业的，应提交营业执照和组织机构代码证的复印件（按照“三证合一”或“五证合一”登记制度进行登记的，可仅提供营业执照复印件）；</w:t>
      </w:r>
    </w:p>
    <w:p w14:paraId="1335A4A5">
      <w:pPr>
        <w:spacing w:line="400" w:lineRule="exact"/>
        <w:ind w:firstLine="420" w:firstLineChars="200"/>
        <w:rPr>
          <w:rFonts w:ascii="Times New Roman" w:hAnsi="Times New Roman"/>
          <w:color w:val="000000"/>
        </w:rPr>
      </w:pPr>
      <w:r>
        <w:rPr>
          <w:rFonts w:ascii="Times New Roman" w:hAnsi="Times New Roman"/>
          <w:color w:val="000000"/>
        </w:rPr>
        <w:t>（2）投标人为依法允许经营的事业单位的，应提交事业单位法人证书和组织机构代码证的复印件。</w:t>
      </w:r>
    </w:p>
    <w:p w14:paraId="724AEDEE">
      <w:pPr>
        <w:spacing w:line="400" w:lineRule="exact"/>
        <w:ind w:firstLine="420" w:firstLineChars="200"/>
        <w:rPr>
          <w:rFonts w:ascii="Times New Roman" w:hAnsi="Times New Roman"/>
        </w:rPr>
      </w:pPr>
      <w:r>
        <w:rPr>
          <w:rFonts w:ascii="Times New Roman" w:hAnsi="Times New Roman"/>
        </w:rPr>
        <w:t>3.5.2 “近年财务状况表”应附经会计师事务所或审计机构审计的财务会计报表，包括资产负债表、现金流量表、利润表和财务情况说明书的复印件，具体年份要求见投标人须知前附表。投标人的成立时间少于投标人须知前附表规定年份的，应提供成立以来的财务状况</w:t>
      </w:r>
      <w:r>
        <w:rPr>
          <w:rFonts w:hint="eastAsia" w:ascii="Times New Roman" w:hAnsi="Times New Roman"/>
        </w:rPr>
        <w:t>表</w:t>
      </w:r>
      <w:r>
        <w:rPr>
          <w:rFonts w:ascii="Times New Roman" w:hAnsi="Times New Roman"/>
        </w:rPr>
        <w:t>。</w:t>
      </w:r>
    </w:p>
    <w:p w14:paraId="6A75E9DE">
      <w:pPr>
        <w:spacing w:line="400" w:lineRule="exact"/>
        <w:ind w:firstLine="420" w:firstLineChars="200"/>
        <w:rPr>
          <w:rFonts w:ascii="Times New Roman" w:hAnsi="Times New Roman"/>
        </w:rPr>
      </w:pPr>
      <w:r>
        <w:rPr>
          <w:rFonts w:ascii="Times New Roman" w:hAnsi="Times New Roman"/>
        </w:rPr>
        <w:t>3.5.3 “近年完成的类似项目情况表”应附中标通知书和（或）合同协议书、材料进场验收证书等的复印件，具体</w:t>
      </w:r>
      <w:r>
        <w:rPr>
          <w:rFonts w:hint="eastAsia" w:ascii="Times New Roman" w:hAnsi="Times New Roman"/>
        </w:rPr>
        <w:t>时间</w:t>
      </w:r>
      <w:r>
        <w:rPr>
          <w:rFonts w:ascii="Times New Roman" w:hAnsi="Times New Roman"/>
        </w:rPr>
        <w:t>要求见投标人须知前附表。每张表格只填写一个项目，并标明序号。</w:t>
      </w:r>
    </w:p>
    <w:p w14:paraId="2D30DBA6">
      <w:pPr>
        <w:spacing w:line="400" w:lineRule="exact"/>
        <w:ind w:firstLine="420" w:firstLineChars="200"/>
        <w:rPr>
          <w:rFonts w:ascii="Times New Roman" w:hAnsi="Times New Roman"/>
        </w:rPr>
      </w:pPr>
      <w:r>
        <w:rPr>
          <w:rFonts w:ascii="Times New Roman" w:hAnsi="Times New Roman"/>
        </w:rPr>
        <w:t>3.5.4 “正在供货和新承接的项目情况表”应附中标通知书和（或）合同协议书复印件。每张表格只填写一个项目，并标明序号。</w:t>
      </w:r>
    </w:p>
    <w:p w14:paraId="4D230FD9">
      <w:pPr>
        <w:spacing w:line="400" w:lineRule="exact"/>
        <w:ind w:firstLine="420" w:firstLineChars="200"/>
        <w:rPr>
          <w:rFonts w:ascii="Times New Roman" w:hAnsi="Times New Roman"/>
        </w:rPr>
      </w:pPr>
      <w:r>
        <w:rPr>
          <w:rFonts w:ascii="Times New Roman" w:hAnsi="Times New Roman"/>
        </w:rPr>
        <w:t>3.5.</w:t>
      </w:r>
      <w:r>
        <w:rPr>
          <w:rFonts w:hint="eastAsia" w:ascii="Times New Roman" w:hAnsi="Times New Roman"/>
          <w:lang w:val="en-US" w:eastAsia="zh-CN"/>
        </w:rPr>
        <w:t>5</w:t>
      </w:r>
      <w:r>
        <w:rPr>
          <w:rFonts w:ascii="Times New Roman" w:hAnsi="Times New Roman"/>
        </w:rPr>
        <w:t xml:space="preserve"> 投标人须知前附表规定接受联合体投标的，本章第3.5.1项至第3.5.</w:t>
      </w:r>
      <w:r>
        <w:rPr>
          <w:rFonts w:hint="eastAsia" w:ascii="Times New Roman" w:hAnsi="Times New Roman"/>
          <w:lang w:val="en-US" w:eastAsia="zh-CN"/>
        </w:rPr>
        <w:t>4</w:t>
      </w:r>
      <w:r>
        <w:rPr>
          <w:rFonts w:ascii="Times New Roman" w:hAnsi="Times New Roman"/>
        </w:rPr>
        <w:t>项规定的表格和资料应包括联合体各方相关情况。</w:t>
      </w:r>
    </w:p>
    <w:p w14:paraId="230E46EB">
      <w:pPr>
        <w:pStyle w:val="4"/>
        <w:spacing w:line="240" w:lineRule="auto"/>
        <w:ind w:firstLine="137"/>
        <w:rPr>
          <w:rFonts w:ascii="Times New Roman" w:hAnsi="Times New Roman"/>
          <w:color w:val="000000"/>
        </w:rPr>
      </w:pPr>
      <w:bookmarkStart w:id="142" w:name="_Toc27426"/>
      <w:r>
        <w:rPr>
          <w:rFonts w:ascii="Times New Roman" w:hAnsi="Times New Roman"/>
          <w:color w:val="000000"/>
        </w:rPr>
        <w:t>3.6 备选投标方案</w:t>
      </w:r>
      <w:bookmarkEnd w:id="142"/>
    </w:p>
    <w:p w14:paraId="56AFDDC2">
      <w:pPr>
        <w:spacing w:line="400" w:lineRule="exact"/>
        <w:ind w:firstLine="420" w:firstLineChars="200"/>
        <w:rPr>
          <w:rFonts w:ascii="Times New Roman" w:hAnsi="Times New Roman"/>
          <w:color w:val="000000"/>
        </w:rPr>
      </w:pPr>
      <w:r>
        <w:rPr>
          <w:rFonts w:ascii="Times New Roman" w:hAnsi="Times New Roman"/>
          <w:color w:val="000000"/>
        </w:rPr>
        <w:t>3.6.1 除投标人须知前附表规定允许外，投标人不得递交备选投标方案，否则其投标将被否决。</w:t>
      </w:r>
    </w:p>
    <w:p w14:paraId="3052FD49">
      <w:pPr>
        <w:spacing w:line="400" w:lineRule="exact"/>
        <w:ind w:firstLine="420" w:firstLineChars="200"/>
        <w:rPr>
          <w:rFonts w:ascii="Times New Roman" w:hAnsi="Times New Roman"/>
          <w:color w:val="000000"/>
        </w:rPr>
      </w:pPr>
      <w:r>
        <w:rPr>
          <w:rFonts w:ascii="Times New Roman" w:hAnsi="Times New Roman"/>
          <w:color w:val="000000"/>
        </w:rPr>
        <w:t>3.6.2 允许投标人递交备选投标方案的，只有中标人所递交的备选投标方案方可予以考虑。评标委员会认为中标人的备选投标方案优于其按照招标文件要求编制的投标方案的，招标人可以接受该备选投标方案。</w:t>
      </w:r>
    </w:p>
    <w:p w14:paraId="77CB7F68">
      <w:pPr>
        <w:spacing w:line="400" w:lineRule="exact"/>
        <w:ind w:firstLine="420" w:firstLineChars="200"/>
        <w:rPr>
          <w:rFonts w:ascii="Times New Roman" w:hAnsi="Times New Roman"/>
          <w:color w:val="000000"/>
          <w:highlight w:val="none"/>
        </w:rPr>
      </w:pPr>
      <w:r>
        <w:rPr>
          <w:rFonts w:ascii="Times New Roman" w:hAnsi="Times New Roman"/>
          <w:color w:val="000000"/>
          <w:highlight w:val="none"/>
        </w:rPr>
        <w:t>3.6.3 投标人提供两个或两个以上投标报价，或者在投标文件中提供一个报价，但同时提供两个或两个以上</w:t>
      </w:r>
      <w:r>
        <w:rPr>
          <w:rFonts w:ascii="Times New Roman" w:hAnsi="Times New Roman"/>
          <w:highlight w:val="none"/>
        </w:rPr>
        <w:t>供</w:t>
      </w:r>
      <w:bookmarkStart w:id="143" w:name="_Toc300834971"/>
      <w:bookmarkStart w:id="144" w:name="_Toc384308232"/>
      <w:bookmarkStart w:id="145" w:name="_Toc361508607"/>
      <w:bookmarkStart w:id="146" w:name="_Toc247527575"/>
      <w:bookmarkStart w:id="147" w:name="_Toc152045550"/>
      <w:bookmarkStart w:id="148" w:name="_Toc29902"/>
      <w:bookmarkStart w:id="149" w:name="_Toc369531538"/>
      <w:bookmarkStart w:id="150" w:name="_Toc247513974"/>
      <w:bookmarkStart w:id="151" w:name="_Toc144974518"/>
      <w:bookmarkStart w:id="152" w:name="_Toc352691495"/>
      <w:bookmarkStart w:id="153" w:name="_Toc152042326"/>
      <w:r>
        <w:rPr>
          <w:rFonts w:ascii="Times New Roman" w:hAnsi="Times New Roman"/>
          <w:highlight w:val="none"/>
        </w:rPr>
        <w:t>货方案的</w:t>
      </w:r>
      <w:bookmarkEnd w:id="143"/>
      <w:bookmarkEnd w:id="144"/>
      <w:bookmarkEnd w:id="145"/>
      <w:bookmarkEnd w:id="146"/>
      <w:bookmarkEnd w:id="147"/>
      <w:bookmarkEnd w:id="148"/>
      <w:bookmarkEnd w:id="149"/>
      <w:bookmarkEnd w:id="150"/>
      <w:bookmarkEnd w:id="151"/>
      <w:bookmarkEnd w:id="152"/>
      <w:bookmarkEnd w:id="153"/>
      <w:r>
        <w:rPr>
          <w:rFonts w:ascii="Times New Roman" w:hAnsi="Times New Roman"/>
          <w:highlight w:val="none"/>
        </w:rPr>
        <w:t>，</w:t>
      </w:r>
      <w:r>
        <w:rPr>
          <w:rFonts w:ascii="Times New Roman" w:hAnsi="Times New Roman"/>
          <w:color w:val="000000"/>
          <w:highlight w:val="none"/>
        </w:rPr>
        <w:t>视为提供备选方案。</w:t>
      </w:r>
    </w:p>
    <w:p w14:paraId="444DBED8">
      <w:pPr>
        <w:pStyle w:val="4"/>
        <w:spacing w:line="240" w:lineRule="auto"/>
        <w:ind w:firstLine="137"/>
        <w:rPr>
          <w:rFonts w:ascii="Times New Roman" w:hAnsi="Times New Roman"/>
          <w:color w:val="000000"/>
        </w:rPr>
      </w:pPr>
      <w:bookmarkStart w:id="154" w:name="_Toc14852"/>
      <w:r>
        <w:rPr>
          <w:rFonts w:ascii="Times New Roman" w:hAnsi="Times New Roman"/>
          <w:color w:val="000000"/>
        </w:rPr>
        <w:t>3.7 投标文件的编制</w:t>
      </w:r>
      <w:bookmarkEnd w:id="154"/>
    </w:p>
    <w:p w14:paraId="33B6DD9F">
      <w:pPr>
        <w:spacing w:line="400" w:lineRule="exact"/>
        <w:ind w:firstLine="420" w:firstLineChars="200"/>
        <w:rPr>
          <w:rFonts w:ascii="Times New Roman" w:hAnsi="Times New Roman"/>
          <w:color w:val="000000"/>
        </w:rPr>
      </w:pPr>
      <w:r>
        <w:rPr>
          <w:rFonts w:ascii="Times New Roman" w:hAnsi="Times New Roman"/>
          <w:color w:val="000000"/>
        </w:rPr>
        <w:t>3.7.1 投标文件应按第</w:t>
      </w:r>
      <w:r>
        <w:rPr>
          <w:rFonts w:hint="eastAsia" w:ascii="Times New Roman" w:hAnsi="Times New Roman"/>
          <w:color w:val="000000"/>
          <w:lang w:val="en-US" w:eastAsia="zh-CN"/>
        </w:rPr>
        <w:t>七</w:t>
      </w:r>
      <w:r>
        <w:rPr>
          <w:rFonts w:ascii="Times New Roman" w:hAnsi="Times New Roman"/>
          <w:color w:val="000000"/>
        </w:rPr>
        <w:t>章“投标文件格式”进行编写，如有必要，可以增加附页，作为投标文件的组成部分。</w:t>
      </w:r>
    </w:p>
    <w:p w14:paraId="6C224D62">
      <w:pPr>
        <w:spacing w:line="400" w:lineRule="exact"/>
        <w:ind w:firstLine="420" w:firstLineChars="200"/>
        <w:rPr>
          <w:rFonts w:ascii="Times New Roman" w:hAnsi="Times New Roman"/>
          <w:color w:val="000000"/>
        </w:rPr>
      </w:pPr>
      <w:r>
        <w:rPr>
          <w:rFonts w:ascii="Times New Roman" w:hAnsi="Times New Roman"/>
          <w:color w:val="000000"/>
        </w:rPr>
        <w:t>3.7.2 投标文件应当对招标文件有关供货期、投标有效期、供货要求、招标范围等实质性内容作出响应。投标文件在满足招标文件实质性要求的基础上，可以提出比招标文件要求更有利于招标人的承诺。</w:t>
      </w:r>
    </w:p>
    <w:p w14:paraId="0F4B98C1">
      <w:pPr>
        <w:spacing w:line="400" w:lineRule="exact"/>
        <w:ind w:firstLine="420" w:firstLineChars="200"/>
        <w:rPr>
          <w:rFonts w:ascii="Times New Roman" w:hAnsi="Times New Roman"/>
          <w:color w:val="auto"/>
          <w:highlight w:val="none"/>
        </w:rPr>
      </w:pPr>
      <w:r>
        <w:rPr>
          <w:rFonts w:ascii="Times New Roman" w:hAnsi="Times New Roman"/>
          <w:color w:val="auto"/>
          <w:highlight w:val="none"/>
        </w:rPr>
        <w:t>3.7.3投标文件全部采用电子文档，除投标人须知前附表另有规定外，投标文件所附证书证件均为原件扫描件，并</w:t>
      </w:r>
      <w:r>
        <w:rPr>
          <w:rFonts w:ascii="Times New Roman" w:hAnsi="Times New Roman"/>
          <w:color w:val="auto"/>
          <w:szCs w:val="21"/>
          <w:highlight w:val="none"/>
        </w:rPr>
        <w:t>采用单位和个人数字证书，按招标文件要求在相应位置加盖电子印章</w:t>
      </w:r>
      <w:r>
        <w:rPr>
          <w:rFonts w:ascii="Times New Roman" w:hAnsi="Times New Roman"/>
          <w:color w:val="auto"/>
          <w:highlight w:val="none"/>
        </w:rPr>
        <w:t>。由投标人的法定代表人（单位负责人）签字或加盖电子印章的，应附法定代表人（单位负责人）身份证明，由代理人签字或加盖电子印章的，应附由法定代表人（单位负责人）签署的授权委托书。签字或盖章的具体要求见投标人须知前附表。</w:t>
      </w:r>
    </w:p>
    <w:p w14:paraId="5098E57A">
      <w:pPr>
        <w:pStyle w:val="3"/>
        <w:rPr>
          <w:rFonts w:ascii="Times New Roman" w:hAnsi="Times New Roman"/>
          <w:color w:val="000000"/>
        </w:rPr>
      </w:pPr>
      <w:bookmarkStart w:id="155" w:name="_Toc19183"/>
      <w:r>
        <w:rPr>
          <w:rFonts w:ascii="Times New Roman" w:hAnsi="Times New Roman"/>
          <w:color w:val="000000"/>
        </w:rPr>
        <w:t>4. 投标</w:t>
      </w:r>
      <w:bookmarkEnd w:id="155"/>
    </w:p>
    <w:p w14:paraId="368AFD3E">
      <w:pPr>
        <w:pStyle w:val="4"/>
        <w:spacing w:line="240" w:lineRule="auto"/>
        <w:ind w:firstLine="137"/>
        <w:rPr>
          <w:rFonts w:ascii="Times New Roman" w:hAnsi="Times New Roman"/>
          <w:color w:val="000000"/>
        </w:rPr>
      </w:pPr>
      <w:bookmarkStart w:id="156" w:name="_Toc6383"/>
      <w:r>
        <w:rPr>
          <w:rFonts w:ascii="Times New Roman" w:hAnsi="Times New Roman"/>
          <w:color w:val="000000"/>
        </w:rPr>
        <w:t>4.1 投标文件的密封和标记</w:t>
      </w:r>
      <w:bookmarkEnd w:id="156"/>
    </w:p>
    <w:p w14:paraId="3C2F3F38">
      <w:pPr>
        <w:spacing w:line="400" w:lineRule="exact"/>
        <w:ind w:firstLine="420" w:firstLineChars="200"/>
        <w:rPr>
          <w:rFonts w:ascii="Times New Roman" w:hAnsi="Times New Roman"/>
          <w:color w:val="000000"/>
        </w:rPr>
      </w:pPr>
      <w:r>
        <w:rPr>
          <w:rFonts w:ascii="Times New Roman" w:hAnsi="Times New Roman"/>
          <w:color w:val="000000"/>
        </w:rPr>
        <w:t>4.1.1 投标人应当按照招标文件和电子招标投标交易平台的要求加密投标文件，具体要求见投标人须知前附表。</w:t>
      </w:r>
    </w:p>
    <w:p w14:paraId="54C9B464">
      <w:pPr>
        <w:spacing w:line="400" w:lineRule="exact"/>
        <w:ind w:firstLine="420" w:firstLineChars="200"/>
        <w:rPr>
          <w:rFonts w:ascii="Times New Roman" w:hAnsi="Times New Roman"/>
          <w:color w:val="000000"/>
        </w:rPr>
      </w:pPr>
      <w:r>
        <w:rPr>
          <w:rFonts w:ascii="Times New Roman" w:hAnsi="Times New Roman"/>
          <w:color w:val="000000"/>
        </w:rPr>
        <w:t>4.1.</w:t>
      </w:r>
      <w:r>
        <w:rPr>
          <w:rFonts w:hint="eastAsia" w:ascii="Times New Roman" w:hAnsi="Times New Roman"/>
          <w:color w:val="000000"/>
          <w:lang w:val="en-US" w:eastAsia="zh-CN"/>
        </w:rPr>
        <w:t>2</w:t>
      </w:r>
      <w:r>
        <w:rPr>
          <w:rFonts w:ascii="Times New Roman" w:hAnsi="Times New Roman"/>
          <w:color w:val="000000"/>
        </w:rPr>
        <w:t xml:space="preserve"> 未按本章第4.1.1项要求密封的投标文件，招标人将予以拒收。</w:t>
      </w:r>
    </w:p>
    <w:p w14:paraId="75A78C09">
      <w:pPr>
        <w:pStyle w:val="4"/>
        <w:spacing w:line="240" w:lineRule="auto"/>
        <w:ind w:firstLine="137"/>
        <w:rPr>
          <w:rFonts w:ascii="Times New Roman" w:hAnsi="Times New Roman"/>
          <w:color w:val="000000"/>
        </w:rPr>
      </w:pPr>
      <w:bookmarkStart w:id="157" w:name="_Toc91"/>
      <w:r>
        <w:rPr>
          <w:rFonts w:ascii="Times New Roman" w:hAnsi="Times New Roman"/>
          <w:color w:val="000000"/>
        </w:rPr>
        <w:t>4.2 投标文件的递交</w:t>
      </w:r>
      <w:bookmarkEnd w:id="157"/>
    </w:p>
    <w:p w14:paraId="3A78FBD1">
      <w:pPr>
        <w:spacing w:line="400" w:lineRule="exact"/>
        <w:ind w:firstLine="420" w:firstLineChars="200"/>
        <w:rPr>
          <w:rFonts w:ascii="Times New Roman" w:hAnsi="Times New Roman"/>
          <w:color w:val="000000"/>
        </w:rPr>
      </w:pPr>
      <w:r>
        <w:rPr>
          <w:rFonts w:ascii="Times New Roman" w:hAnsi="Times New Roman"/>
          <w:color w:val="000000"/>
        </w:rPr>
        <w:t>4.2.1 投标人应在投标人须知前附表规定的投标截止时间前递交投标文件。</w:t>
      </w:r>
    </w:p>
    <w:p w14:paraId="697FDEF5">
      <w:pPr>
        <w:spacing w:line="400" w:lineRule="exact"/>
        <w:ind w:firstLine="420" w:firstLineChars="200"/>
        <w:rPr>
          <w:rFonts w:ascii="Times New Roman" w:hAnsi="Times New Roman"/>
          <w:color w:val="000000"/>
        </w:rPr>
      </w:pPr>
      <w:r>
        <w:rPr>
          <w:rFonts w:ascii="Times New Roman" w:hAnsi="Times New Roman"/>
          <w:color w:val="000000"/>
        </w:rPr>
        <w:t>4.2.2 投标人递交投标文件的地点：见投标人须知前附表。</w:t>
      </w:r>
    </w:p>
    <w:p w14:paraId="1FC496EA">
      <w:pPr>
        <w:spacing w:line="400" w:lineRule="exact"/>
        <w:ind w:firstLine="420" w:firstLineChars="200"/>
        <w:rPr>
          <w:rFonts w:ascii="Times New Roman" w:hAnsi="Times New Roman"/>
          <w:color w:val="000000"/>
        </w:rPr>
      </w:pPr>
      <w:r>
        <w:rPr>
          <w:rFonts w:ascii="Times New Roman" w:hAnsi="Times New Roman"/>
          <w:color w:val="000000"/>
        </w:rPr>
        <w:t>4.2.3 除投标人须知前附表另有规定外，投标人所递交的投标文件不予退还。</w:t>
      </w:r>
    </w:p>
    <w:p w14:paraId="0D2F1FFD">
      <w:pPr>
        <w:spacing w:line="400" w:lineRule="exact"/>
        <w:ind w:firstLine="420" w:firstLineChars="200"/>
        <w:rPr>
          <w:rFonts w:ascii="Times New Roman" w:hAnsi="Times New Roman"/>
        </w:rPr>
      </w:pPr>
      <w:r>
        <w:rPr>
          <w:rFonts w:ascii="Times New Roman" w:hAnsi="Times New Roman"/>
          <w:color w:val="000000"/>
        </w:rPr>
        <w:t>4.2.4 投标人</w:t>
      </w:r>
      <w:r>
        <w:rPr>
          <w:rFonts w:ascii="Times New Roman" w:hAnsi="Times New Roman"/>
        </w:rPr>
        <w:t>完成电子投标文件上传后，</w:t>
      </w:r>
      <w:r>
        <w:rPr>
          <w:rFonts w:ascii="Times New Roman" w:hAnsi="Times New Roman"/>
          <w:bCs/>
          <w:iCs/>
          <w:color w:val="000000"/>
        </w:rPr>
        <w:t>电子招标投标交易平台</w:t>
      </w:r>
      <w:r>
        <w:rPr>
          <w:rFonts w:ascii="Times New Roman" w:hAnsi="Times New Roman"/>
          <w:color w:val="000000"/>
        </w:rPr>
        <w:t>即时向投标人发出递交回执通知</w:t>
      </w:r>
      <w:r>
        <w:rPr>
          <w:rFonts w:ascii="Times New Roman" w:hAnsi="Times New Roman"/>
        </w:rPr>
        <w:t>。递交时间以递交回执通知载明的传输完成时间为准。</w:t>
      </w:r>
    </w:p>
    <w:p w14:paraId="18DCB4BA">
      <w:pPr>
        <w:spacing w:line="400" w:lineRule="exact"/>
        <w:ind w:firstLine="420" w:firstLineChars="200"/>
        <w:jc w:val="left"/>
        <w:rPr>
          <w:rFonts w:ascii="Times New Roman" w:hAnsi="Times New Roman"/>
        </w:rPr>
      </w:pPr>
      <w:r>
        <w:rPr>
          <w:rFonts w:ascii="Times New Roman" w:hAnsi="Times New Roman"/>
        </w:rPr>
        <w:t>4.2.5 逾期送达的投标文件，电子招标投标交易平台将予以拒收。</w:t>
      </w:r>
    </w:p>
    <w:p w14:paraId="650B8BB6">
      <w:pPr>
        <w:spacing w:line="400" w:lineRule="exact"/>
        <w:ind w:firstLine="420" w:firstLineChars="200"/>
        <w:rPr>
          <w:rFonts w:ascii="Times New Roman" w:hAnsi="Times New Roman"/>
          <w:color w:val="000000"/>
        </w:rPr>
      </w:pPr>
    </w:p>
    <w:p w14:paraId="1EE07D4C">
      <w:pPr>
        <w:pStyle w:val="4"/>
        <w:spacing w:line="240" w:lineRule="auto"/>
        <w:ind w:firstLine="137"/>
        <w:rPr>
          <w:rFonts w:ascii="Times New Roman" w:hAnsi="Times New Roman"/>
          <w:color w:val="000000"/>
        </w:rPr>
      </w:pPr>
      <w:bookmarkStart w:id="158" w:name="_Toc6849"/>
      <w:r>
        <w:rPr>
          <w:rFonts w:ascii="Times New Roman" w:hAnsi="Times New Roman"/>
          <w:color w:val="000000"/>
        </w:rPr>
        <w:t>4.3 投标文件的修改与撤回</w:t>
      </w:r>
      <w:bookmarkEnd w:id="158"/>
    </w:p>
    <w:p w14:paraId="7CCD4C4D">
      <w:pPr>
        <w:spacing w:line="400" w:lineRule="exact"/>
        <w:ind w:firstLine="420" w:firstLineChars="200"/>
        <w:rPr>
          <w:rFonts w:hint="eastAsia" w:ascii="Times New Roman" w:hAnsi="Times New Roman" w:eastAsia="宋体"/>
          <w:color w:val="000000"/>
          <w:lang w:eastAsia="zh-CN"/>
        </w:rPr>
      </w:pPr>
      <w:r>
        <w:rPr>
          <w:rFonts w:ascii="Times New Roman" w:hAnsi="Times New Roman"/>
          <w:color w:val="000000"/>
        </w:rPr>
        <w:t>4.3.1 在本章第4.2.1项规定的投标截止时间前，投标人可以修改或撤回已递交的投标文件</w:t>
      </w:r>
      <w:r>
        <w:rPr>
          <w:rFonts w:hint="eastAsia" w:ascii="Times New Roman" w:hAnsi="Times New Roman"/>
          <w:color w:val="000000"/>
          <w:lang w:eastAsia="zh-CN"/>
        </w:rPr>
        <w:t>。</w:t>
      </w:r>
    </w:p>
    <w:p w14:paraId="59EAF15A">
      <w:pPr>
        <w:pStyle w:val="3"/>
        <w:rPr>
          <w:rFonts w:ascii="Times New Roman" w:hAnsi="Times New Roman"/>
          <w:color w:val="000000"/>
        </w:rPr>
      </w:pPr>
      <w:bookmarkStart w:id="159" w:name="_Toc19135"/>
      <w:r>
        <w:rPr>
          <w:rFonts w:ascii="Times New Roman" w:hAnsi="Times New Roman"/>
          <w:color w:val="000000"/>
        </w:rPr>
        <w:t>5. 开标</w:t>
      </w:r>
      <w:bookmarkEnd w:id="159"/>
    </w:p>
    <w:p w14:paraId="4FF46DFC">
      <w:pPr>
        <w:pStyle w:val="4"/>
        <w:spacing w:line="240" w:lineRule="auto"/>
        <w:ind w:firstLine="137"/>
        <w:rPr>
          <w:rFonts w:ascii="Times New Roman" w:hAnsi="Times New Roman"/>
          <w:color w:val="000000"/>
        </w:rPr>
      </w:pPr>
      <w:bookmarkStart w:id="160" w:name="_Toc10659"/>
      <w:r>
        <w:rPr>
          <w:rFonts w:ascii="Times New Roman" w:hAnsi="Times New Roman"/>
          <w:color w:val="000000"/>
        </w:rPr>
        <w:t>5.1 开标时间和地点</w:t>
      </w:r>
      <w:bookmarkEnd w:id="160"/>
    </w:p>
    <w:p w14:paraId="0833A21A">
      <w:pPr>
        <w:spacing w:line="400" w:lineRule="exact"/>
        <w:ind w:firstLine="420" w:firstLineChars="200"/>
        <w:rPr>
          <w:rFonts w:ascii="Times New Roman" w:hAnsi="Times New Roman"/>
          <w:color w:val="000000"/>
        </w:rPr>
      </w:pPr>
      <w:r>
        <w:rPr>
          <w:rFonts w:hint="eastAsia" w:ascii="Times New Roman" w:hAnsi="Times New Roman"/>
          <w:color w:val="000000"/>
          <w:lang w:val="en-US" w:eastAsia="zh-CN"/>
        </w:rPr>
        <w:t>5.1.1</w:t>
      </w:r>
      <w:r>
        <w:rPr>
          <w:rFonts w:ascii="Times New Roman" w:hAnsi="Times New Roman"/>
          <w:color w:val="000000"/>
        </w:rPr>
        <w:t>招标人在本章第4.2.1项规定的投标截止时间（开标时间）,通过</w:t>
      </w:r>
      <w:r>
        <w:rPr>
          <w:rFonts w:hint="eastAsia" w:ascii="Times New Roman" w:hAnsi="Times New Roman"/>
          <w:color w:val="000000"/>
          <w:lang w:val="en-US" w:eastAsia="zh-CN"/>
        </w:rPr>
        <w:t>不见面开标大厅</w:t>
      </w:r>
      <w:r>
        <w:rPr>
          <w:rFonts w:ascii="Times New Roman" w:hAnsi="Times New Roman"/>
          <w:color w:val="000000"/>
        </w:rPr>
        <w:t>公开开标，所有投标人的法定代表人或其委托代理人应当准时参加。</w:t>
      </w:r>
    </w:p>
    <w:p w14:paraId="7082CAE0">
      <w:pPr>
        <w:spacing w:line="400" w:lineRule="exact"/>
        <w:ind w:firstLine="420" w:firstLineChars="200"/>
        <w:rPr>
          <w:rFonts w:hint="default" w:ascii="Times New Roman" w:hAnsi="Times New Roman" w:eastAsia="宋体"/>
          <w:color w:val="000000"/>
          <w:lang w:val="en-US" w:eastAsia="zh-CN"/>
        </w:rPr>
      </w:pPr>
      <w:r>
        <w:rPr>
          <w:rFonts w:hint="eastAsia" w:ascii="Times New Roman" w:hAnsi="Times New Roman"/>
          <w:color w:val="000000"/>
          <w:lang w:val="en-US" w:eastAsia="zh-CN"/>
        </w:rPr>
        <w:t>5.1.2解密时间见投标人须知前附表</w:t>
      </w:r>
    </w:p>
    <w:p w14:paraId="0BB027C2">
      <w:pPr>
        <w:pStyle w:val="4"/>
        <w:spacing w:line="240" w:lineRule="auto"/>
        <w:ind w:firstLine="137"/>
        <w:rPr>
          <w:rFonts w:ascii="Times New Roman" w:hAnsi="Times New Roman"/>
          <w:color w:val="000000"/>
        </w:rPr>
      </w:pPr>
      <w:bookmarkStart w:id="161" w:name="_Toc15115"/>
      <w:r>
        <w:rPr>
          <w:rFonts w:ascii="Times New Roman" w:hAnsi="Times New Roman"/>
          <w:color w:val="000000"/>
        </w:rPr>
        <w:t>5.2 开标程序</w:t>
      </w:r>
      <w:bookmarkEnd w:id="161"/>
    </w:p>
    <w:p w14:paraId="366DD7F7">
      <w:pPr>
        <w:spacing w:line="400" w:lineRule="exact"/>
        <w:ind w:firstLine="420" w:firstLineChars="200"/>
        <w:rPr>
          <w:rFonts w:ascii="Times New Roman" w:hAnsi="Times New Roman"/>
          <w:color w:val="000000"/>
        </w:rPr>
      </w:pPr>
      <w:r>
        <w:rPr>
          <w:rFonts w:hint="eastAsia" w:ascii="宋体" w:hAnsi="宋体" w:eastAsia="宋体" w:cs="宋体"/>
          <w:sz w:val="21"/>
          <w:szCs w:val="21"/>
          <w:highlight w:val="none"/>
          <w:lang w:val="en-US" w:eastAsia="zh-CN"/>
        </w:rPr>
        <w:t>见</w:t>
      </w:r>
      <w:r>
        <w:rPr>
          <w:rFonts w:hint="eastAsia" w:ascii="宋体" w:hAnsi="宋体" w:eastAsia="宋体" w:cs="宋体"/>
          <w:sz w:val="21"/>
          <w:szCs w:val="21"/>
          <w:highlight w:val="none"/>
        </w:rPr>
        <w:t>投标人须知前附表</w:t>
      </w:r>
      <w:r>
        <w:rPr>
          <w:rFonts w:ascii="Times New Roman" w:hAnsi="Times New Roman"/>
          <w:color w:val="000000"/>
        </w:rPr>
        <w:t>。</w:t>
      </w:r>
    </w:p>
    <w:p w14:paraId="025F2D11">
      <w:pPr>
        <w:pStyle w:val="4"/>
        <w:spacing w:line="240" w:lineRule="auto"/>
        <w:ind w:firstLine="137"/>
        <w:rPr>
          <w:rFonts w:ascii="Times New Roman" w:hAnsi="Times New Roman"/>
          <w:color w:val="000000"/>
        </w:rPr>
      </w:pPr>
      <w:bookmarkStart w:id="162" w:name="_Toc19592"/>
      <w:r>
        <w:rPr>
          <w:rFonts w:ascii="Times New Roman" w:hAnsi="Times New Roman"/>
          <w:color w:val="000000"/>
        </w:rPr>
        <w:t>5.3 开标异议</w:t>
      </w:r>
      <w:bookmarkEnd w:id="162"/>
    </w:p>
    <w:p w14:paraId="68B39064">
      <w:pPr>
        <w:spacing w:line="400" w:lineRule="exact"/>
        <w:ind w:firstLine="359" w:firstLineChars="171"/>
        <w:rPr>
          <w:rFonts w:ascii="Times New Roman" w:hAnsi="Times New Roman"/>
          <w:color w:val="000000"/>
        </w:rPr>
      </w:pPr>
      <w:r>
        <w:rPr>
          <w:rFonts w:ascii="Times New Roman" w:hAnsi="Times New Roman"/>
          <w:color w:val="000000"/>
        </w:rPr>
        <w:t>投标人对开标有异议的，应当在开标现场提出，招标人当场作出答复，并制作记录。</w:t>
      </w:r>
    </w:p>
    <w:p w14:paraId="042205AE">
      <w:pPr>
        <w:pStyle w:val="3"/>
        <w:rPr>
          <w:rFonts w:ascii="Times New Roman" w:hAnsi="Times New Roman"/>
          <w:color w:val="000000"/>
        </w:rPr>
      </w:pPr>
      <w:bookmarkStart w:id="163" w:name="_Toc5919"/>
      <w:r>
        <w:rPr>
          <w:rFonts w:ascii="Times New Roman" w:hAnsi="Times New Roman"/>
          <w:color w:val="000000"/>
        </w:rPr>
        <w:t>6. 评标</w:t>
      </w:r>
      <w:bookmarkEnd w:id="163"/>
    </w:p>
    <w:p w14:paraId="6B9A3387">
      <w:pPr>
        <w:pStyle w:val="4"/>
        <w:spacing w:line="240" w:lineRule="auto"/>
        <w:ind w:firstLine="137"/>
        <w:rPr>
          <w:rFonts w:ascii="Times New Roman" w:hAnsi="Times New Roman"/>
          <w:color w:val="000000"/>
        </w:rPr>
      </w:pPr>
      <w:bookmarkStart w:id="164" w:name="_Toc2467"/>
      <w:r>
        <w:rPr>
          <w:rFonts w:ascii="Times New Roman" w:hAnsi="Times New Roman"/>
          <w:color w:val="000000"/>
        </w:rPr>
        <w:t>6.1 评标委员会</w:t>
      </w:r>
      <w:bookmarkEnd w:id="164"/>
    </w:p>
    <w:p w14:paraId="71A42D72">
      <w:pPr>
        <w:spacing w:line="400" w:lineRule="exact"/>
        <w:ind w:firstLine="420" w:firstLineChars="200"/>
        <w:rPr>
          <w:rFonts w:ascii="Times New Roman" w:hAnsi="Times New Roman"/>
          <w:color w:val="000000"/>
        </w:rPr>
      </w:pPr>
      <w:r>
        <w:rPr>
          <w:rFonts w:ascii="Times New Roman" w:hAnsi="Times New Roman"/>
          <w:color w:val="000000"/>
        </w:rPr>
        <w:t>6.1.1 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14:paraId="52B119DF">
      <w:pPr>
        <w:spacing w:line="400" w:lineRule="exact"/>
        <w:ind w:firstLine="420" w:firstLineChars="200"/>
        <w:rPr>
          <w:rFonts w:ascii="Times New Roman" w:hAnsi="Times New Roman"/>
          <w:color w:val="000000"/>
        </w:rPr>
      </w:pPr>
      <w:r>
        <w:rPr>
          <w:rFonts w:ascii="Times New Roman" w:hAnsi="Times New Roman"/>
          <w:color w:val="000000"/>
        </w:rPr>
        <w:t>6.1.2 评标委员会成员有下列情形之一的，应当回避：</w:t>
      </w:r>
    </w:p>
    <w:p w14:paraId="14D7CF1C">
      <w:pPr>
        <w:spacing w:line="400" w:lineRule="exact"/>
        <w:ind w:firstLine="718" w:firstLineChars="342"/>
        <w:rPr>
          <w:rFonts w:ascii="Times New Roman" w:hAnsi="Times New Roman"/>
          <w:color w:val="000000"/>
        </w:rPr>
      </w:pPr>
      <w:r>
        <w:rPr>
          <w:rFonts w:ascii="Times New Roman" w:hAnsi="Times New Roman"/>
          <w:color w:val="000000"/>
        </w:rPr>
        <w:t>（1）投标人或投标人主要负责人的近亲属；</w:t>
      </w:r>
    </w:p>
    <w:p w14:paraId="0915D1AE">
      <w:pPr>
        <w:spacing w:line="400" w:lineRule="exact"/>
        <w:ind w:firstLine="718" w:firstLineChars="342"/>
        <w:rPr>
          <w:rFonts w:ascii="Times New Roman" w:hAnsi="Times New Roman"/>
          <w:color w:val="000000"/>
        </w:rPr>
      </w:pPr>
      <w:r>
        <w:rPr>
          <w:rFonts w:ascii="Times New Roman" w:hAnsi="Times New Roman"/>
          <w:color w:val="000000"/>
        </w:rPr>
        <w:t>（2）项目主管部门或者行政监督部门的人员；</w:t>
      </w:r>
    </w:p>
    <w:p w14:paraId="55F981A5">
      <w:pPr>
        <w:spacing w:line="400" w:lineRule="exact"/>
        <w:ind w:firstLine="718" w:firstLineChars="342"/>
        <w:rPr>
          <w:rFonts w:ascii="Times New Roman" w:hAnsi="Times New Roman"/>
          <w:color w:val="000000"/>
        </w:rPr>
      </w:pPr>
      <w:r>
        <w:rPr>
          <w:rFonts w:ascii="Times New Roman" w:hAnsi="Times New Roman"/>
          <w:color w:val="000000"/>
        </w:rPr>
        <w:t>（3）与投标人有经济利益关系，可能影响对投标公正评审的；</w:t>
      </w:r>
    </w:p>
    <w:p w14:paraId="4CC8386D">
      <w:pPr>
        <w:spacing w:line="400" w:lineRule="exact"/>
        <w:ind w:firstLine="718" w:firstLineChars="342"/>
        <w:rPr>
          <w:rFonts w:ascii="Times New Roman" w:hAnsi="Times New Roman"/>
          <w:color w:val="000000"/>
        </w:rPr>
      </w:pPr>
      <w:r>
        <w:rPr>
          <w:rFonts w:ascii="Times New Roman" w:hAnsi="Times New Roman"/>
          <w:color w:val="000000"/>
        </w:rPr>
        <w:t>（4）曾因在招标、评</w:t>
      </w:r>
      <w:bookmarkStart w:id="165" w:name="_Toc247513979"/>
      <w:bookmarkStart w:id="166" w:name="_Toc369531543"/>
      <w:bookmarkStart w:id="167" w:name="_Toc6230"/>
      <w:bookmarkStart w:id="168" w:name="_Toc384308237"/>
      <w:bookmarkStart w:id="169" w:name="_Toc152042331"/>
      <w:bookmarkStart w:id="170" w:name="_Toc361508612"/>
      <w:bookmarkStart w:id="171" w:name="_Toc247527580"/>
      <w:bookmarkStart w:id="172" w:name="_Toc352691499"/>
      <w:bookmarkStart w:id="173" w:name="_Toc152045555"/>
      <w:bookmarkStart w:id="174" w:name="_Toc144974523"/>
      <w:bookmarkStart w:id="175" w:name="_Toc300834976"/>
      <w:r>
        <w:rPr>
          <w:rFonts w:ascii="Times New Roman" w:hAnsi="Times New Roman"/>
          <w:color w:val="000000"/>
        </w:rPr>
        <w:t>标以及其他</w:t>
      </w:r>
      <w:bookmarkEnd w:id="165"/>
      <w:bookmarkEnd w:id="166"/>
      <w:bookmarkEnd w:id="167"/>
      <w:bookmarkEnd w:id="168"/>
      <w:bookmarkEnd w:id="169"/>
      <w:bookmarkEnd w:id="170"/>
      <w:bookmarkEnd w:id="171"/>
      <w:bookmarkEnd w:id="172"/>
      <w:bookmarkEnd w:id="173"/>
      <w:bookmarkEnd w:id="174"/>
      <w:bookmarkEnd w:id="175"/>
      <w:r>
        <w:rPr>
          <w:rFonts w:ascii="Times New Roman" w:hAnsi="Times New Roman"/>
          <w:color w:val="000000"/>
        </w:rPr>
        <w:t>与</w:t>
      </w:r>
      <w:bookmarkStart w:id="176" w:name="_Toc300834977"/>
      <w:bookmarkStart w:id="177" w:name="_Toc384308238"/>
      <w:bookmarkStart w:id="178" w:name="_Toc247513980"/>
      <w:bookmarkStart w:id="179" w:name="_Toc17703"/>
      <w:bookmarkStart w:id="180" w:name="_Toc352691500"/>
      <w:bookmarkStart w:id="181" w:name="_Toc369531544"/>
      <w:bookmarkStart w:id="182" w:name="_Toc247527581"/>
      <w:bookmarkStart w:id="183" w:name="_Toc361508613"/>
      <w:bookmarkStart w:id="184" w:name="_Toc144974524"/>
      <w:bookmarkStart w:id="185" w:name="_Toc152045556"/>
      <w:bookmarkStart w:id="186" w:name="_Toc152042332"/>
      <w:r>
        <w:rPr>
          <w:rFonts w:ascii="Times New Roman" w:hAnsi="Times New Roman"/>
          <w:color w:val="000000"/>
        </w:rPr>
        <w:t>招标投标有关活动中从事违法行</w:t>
      </w:r>
      <w:bookmarkEnd w:id="176"/>
      <w:bookmarkEnd w:id="177"/>
      <w:bookmarkEnd w:id="178"/>
      <w:bookmarkEnd w:id="179"/>
      <w:bookmarkEnd w:id="180"/>
      <w:bookmarkEnd w:id="181"/>
      <w:bookmarkEnd w:id="182"/>
      <w:bookmarkEnd w:id="183"/>
      <w:bookmarkEnd w:id="184"/>
      <w:bookmarkEnd w:id="185"/>
      <w:bookmarkEnd w:id="186"/>
      <w:r>
        <w:rPr>
          <w:rFonts w:ascii="Times New Roman" w:hAnsi="Times New Roman"/>
          <w:color w:val="000000"/>
        </w:rPr>
        <w:t>为而受过行政处罚或刑事处罚的；</w:t>
      </w:r>
    </w:p>
    <w:p w14:paraId="350923B7">
      <w:pPr>
        <w:spacing w:line="400" w:lineRule="exact"/>
        <w:ind w:firstLine="718" w:firstLineChars="342"/>
        <w:rPr>
          <w:rFonts w:ascii="Times New Roman" w:hAnsi="Times New Roman"/>
          <w:color w:val="000000"/>
        </w:rPr>
      </w:pPr>
      <w:r>
        <w:rPr>
          <w:rFonts w:ascii="Times New Roman" w:hAnsi="Times New Roman"/>
          <w:color w:val="000000"/>
        </w:rPr>
        <w:t>（5）与投标人有其他利害关系。</w:t>
      </w:r>
    </w:p>
    <w:p w14:paraId="687E437D">
      <w:pPr>
        <w:spacing w:line="400" w:lineRule="exact"/>
        <w:ind w:firstLine="420" w:firstLineChars="200"/>
        <w:rPr>
          <w:rFonts w:ascii="Times New Roman" w:hAnsi="Times New Roman"/>
          <w:color w:val="000000"/>
          <w:highlight w:val="none"/>
        </w:rPr>
      </w:pPr>
      <w:r>
        <w:rPr>
          <w:rFonts w:ascii="Times New Roman" w:hAnsi="Times New Roman"/>
          <w:color w:val="000000"/>
          <w:highlight w:val="none"/>
        </w:rPr>
        <w:t>6.1.3 评标过程中，评标委员会成员有回避事由、擅离职守或者因健康等原因不能继续评标的，招标人有权更换。被更换的评标委员会成员作出的评审结论无效，由更换后的评标委员会成员重新进行评审。</w:t>
      </w:r>
    </w:p>
    <w:p w14:paraId="317DD6E1">
      <w:pPr>
        <w:pStyle w:val="4"/>
        <w:spacing w:line="240" w:lineRule="auto"/>
        <w:ind w:firstLine="137"/>
        <w:rPr>
          <w:rFonts w:ascii="Times New Roman" w:hAnsi="Times New Roman"/>
          <w:color w:val="000000"/>
        </w:rPr>
      </w:pPr>
      <w:bookmarkStart w:id="187" w:name="_Toc3308"/>
      <w:r>
        <w:rPr>
          <w:rFonts w:ascii="Times New Roman" w:hAnsi="Times New Roman"/>
          <w:color w:val="000000"/>
        </w:rPr>
        <w:t>6.2 评标原则</w:t>
      </w:r>
      <w:bookmarkEnd w:id="187"/>
    </w:p>
    <w:p w14:paraId="01CE19B1">
      <w:pPr>
        <w:spacing w:line="400" w:lineRule="exact"/>
        <w:ind w:firstLine="420" w:firstLineChars="200"/>
        <w:rPr>
          <w:rFonts w:ascii="Times New Roman" w:hAnsi="Times New Roman"/>
          <w:color w:val="000000"/>
        </w:rPr>
      </w:pPr>
      <w:r>
        <w:rPr>
          <w:rFonts w:ascii="Times New Roman" w:hAnsi="Times New Roman"/>
          <w:color w:val="000000"/>
        </w:rPr>
        <w:t>评标活动遵循公平、公正、科学和择优的原</w:t>
      </w:r>
      <w:bookmarkStart w:id="188" w:name="_Toc144974525"/>
      <w:bookmarkStart w:id="189" w:name="_Toc247527582"/>
      <w:bookmarkStart w:id="190" w:name="_Toc152045557"/>
      <w:bookmarkStart w:id="191" w:name="_Toc18949"/>
      <w:bookmarkStart w:id="192" w:name="_Toc152042333"/>
      <w:bookmarkStart w:id="193" w:name="_Toc247513981"/>
      <w:bookmarkStart w:id="194" w:name="_Toc384308239"/>
      <w:bookmarkStart w:id="195" w:name="_Toc361508614"/>
      <w:bookmarkStart w:id="196" w:name="_Toc352691501"/>
      <w:bookmarkStart w:id="197" w:name="_Toc300834978"/>
      <w:bookmarkStart w:id="198" w:name="_Toc369531545"/>
      <w:r>
        <w:rPr>
          <w:rFonts w:ascii="Times New Roman" w:hAnsi="Times New Roman"/>
          <w:color w:val="000000"/>
        </w:rPr>
        <w:t>则。</w:t>
      </w:r>
    </w:p>
    <w:p w14:paraId="5B15CA03">
      <w:pPr>
        <w:pStyle w:val="4"/>
        <w:spacing w:line="240" w:lineRule="auto"/>
        <w:ind w:firstLine="137"/>
        <w:rPr>
          <w:rFonts w:ascii="Times New Roman" w:hAnsi="Times New Roman"/>
          <w:color w:val="000000"/>
        </w:rPr>
      </w:pPr>
      <w:bookmarkStart w:id="199" w:name="_Toc15744"/>
      <w:r>
        <w:rPr>
          <w:rFonts w:ascii="Times New Roman" w:hAnsi="Times New Roman"/>
          <w:color w:val="000000"/>
        </w:rPr>
        <w:t>6.3 评标</w:t>
      </w:r>
      <w:bookmarkEnd w:id="199"/>
    </w:p>
    <w:p w14:paraId="5C711A79">
      <w:pPr>
        <w:spacing w:line="400" w:lineRule="exact"/>
        <w:ind w:firstLine="420" w:firstLineChars="200"/>
        <w:rPr>
          <w:rFonts w:ascii="Times New Roman" w:hAnsi="Times New Roman"/>
          <w:color w:val="000000"/>
        </w:rPr>
      </w:pPr>
      <w:r>
        <w:rPr>
          <w:rFonts w:ascii="Times New Roman" w:hAnsi="Times New Roman"/>
          <w:color w:val="000000"/>
        </w:rPr>
        <w:t>6</w:t>
      </w:r>
      <w:bookmarkEnd w:id="188"/>
      <w:bookmarkEnd w:id="189"/>
      <w:bookmarkEnd w:id="190"/>
      <w:bookmarkEnd w:id="191"/>
      <w:bookmarkEnd w:id="192"/>
      <w:bookmarkEnd w:id="193"/>
      <w:bookmarkEnd w:id="194"/>
      <w:bookmarkEnd w:id="195"/>
      <w:bookmarkEnd w:id="196"/>
      <w:bookmarkEnd w:id="197"/>
      <w:bookmarkEnd w:id="198"/>
      <w:r>
        <w:rPr>
          <w:rFonts w:ascii="Times New Roman" w:hAnsi="Times New Roman"/>
          <w:color w:val="000000"/>
        </w:rPr>
        <w:t>.3.1评标委员会按照第三章“评标办法”规定的方法、评审因素、标准和程序对投标文件进行评审。第三章“评标办法”没有规定的方法、评审因素和标准，不作为评标依据。</w:t>
      </w:r>
    </w:p>
    <w:p w14:paraId="055E94C4">
      <w:pPr>
        <w:spacing w:line="400" w:lineRule="exact"/>
        <w:ind w:firstLine="420" w:firstLineChars="200"/>
        <w:rPr>
          <w:rFonts w:ascii="Times New Roman" w:hAnsi="Times New Roman"/>
          <w:color w:val="000000"/>
        </w:rPr>
      </w:pPr>
      <w:r>
        <w:rPr>
          <w:rFonts w:ascii="Times New Roman" w:hAnsi="Times New Roman"/>
          <w:color w:val="000000"/>
        </w:rPr>
        <w:t>6.3.2评标完成后，评标委员会应当向招标人提交书面评标报告和中标候选人名单。评标委员会推荐中标</w:t>
      </w:r>
      <w:bookmarkStart w:id="200" w:name="_Toc369531546"/>
      <w:bookmarkStart w:id="201" w:name="_Toc152045558"/>
      <w:bookmarkStart w:id="202" w:name="_Toc247527583"/>
      <w:bookmarkStart w:id="203" w:name="_Toc247513982"/>
      <w:bookmarkStart w:id="204" w:name="_Toc361508615"/>
      <w:bookmarkStart w:id="205" w:name="_Toc300834979"/>
      <w:bookmarkStart w:id="206" w:name="_Toc384308240"/>
      <w:bookmarkStart w:id="207" w:name="_Toc152042334"/>
      <w:bookmarkStart w:id="208" w:name="_Toc12259"/>
      <w:bookmarkStart w:id="209" w:name="_Toc352691502"/>
      <w:bookmarkStart w:id="210" w:name="_Toc144974526"/>
      <w:r>
        <w:rPr>
          <w:rFonts w:ascii="Times New Roman" w:hAnsi="Times New Roman"/>
          <w:color w:val="000000"/>
        </w:rPr>
        <w:t>候选人的人数见投标人须知前附</w:t>
      </w:r>
      <w:bookmarkEnd w:id="200"/>
      <w:bookmarkEnd w:id="201"/>
      <w:bookmarkEnd w:id="202"/>
      <w:bookmarkEnd w:id="203"/>
      <w:bookmarkEnd w:id="204"/>
      <w:bookmarkEnd w:id="205"/>
      <w:bookmarkEnd w:id="206"/>
      <w:bookmarkEnd w:id="207"/>
      <w:bookmarkEnd w:id="208"/>
      <w:bookmarkEnd w:id="209"/>
      <w:bookmarkEnd w:id="210"/>
      <w:r>
        <w:rPr>
          <w:rFonts w:ascii="Times New Roman" w:hAnsi="Times New Roman"/>
          <w:color w:val="000000"/>
        </w:rPr>
        <w:t>表。</w:t>
      </w:r>
    </w:p>
    <w:p w14:paraId="106EF9E4">
      <w:pPr>
        <w:pStyle w:val="3"/>
        <w:rPr>
          <w:rFonts w:ascii="Times New Roman" w:hAnsi="Times New Roman"/>
          <w:color w:val="000000"/>
        </w:rPr>
      </w:pPr>
      <w:bookmarkStart w:id="211" w:name="_Toc23467"/>
      <w:r>
        <w:rPr>
          <w:rFonts w:hint="eastAsia" w:ascii="Times New Roman" w:hAnsi="Times New Roman"/>
          <w:color w:val="000000"/>
          <w:lang w:val="en-US" w:eastAsia="zh-CN"/>
        </w:rPr>
        <w:t>7</w:t>
      </w:r>
      <w:r>
        <w:rPr>
          <w:rFonts w:ascii="Times New Roman" w:hAnsi="Times New Roman"/>
          <w:color w:val="000000"/>
        </w:rPr>
        <w:t>. 合同授予</w:t>
      </w:r>
      <w:bookmarkEnd w:id="211"/>
    </w:p>
    <w:p w14:paraId="63845154">
      <w:pPr>
        <w:pStyle w:val="4"/>
        <w:spacing w:line="240" w:lineRule="auto"/>
        <w:ind w:firstLine="137"/>
        <w:rPr>
          <w:rFonts w:ascii="Times New Roman" w:hAnsi="Times New Roman"/>
          <w:color w:val="000000"/>
        </w:rPr>
      </w:pPr>
      <w:bookmarkStart w:id="212" w:name="_Toc5096"/>
      <w:r>
        <w:rPr>
          <w:rFonts w:hint="eastAsia" w:ascii="Times New Roman" w:hAnsi="Times New Roman"/>
          <w:color w:val="000000"/>
          <w:lang w:val="en-US" w:eastAsia="zh-CN"/>
        </w:rPr>
        <w:t>7</w:t>
      </w:r>
      <w:r>
        <w:rPr>
          <w:rFonts w:ascii="Times New Roman" w:hAnsi="Times New Roman"/>
          <w:color w:val="000000"/>
        </w:rPr>
        <w:t>.1 中标候选人公示</w:t>
      </w:r>
      <w:bookmarkEnd w:id="212"/>
    </w:p>
    <w:p w14:paraId="514C8024">
      <w:pPr>
        <w:spacing w:line="400" w:lineRule="exact"/>
        <w:ind w:firstLine="420" w:firstLineChars="200"/>
        <w:rPr>
          <w:rFonts w:ascii="Times New Roman" w:hAnsi="Times New Roman"/>
          <w:color w:val="000000"/>
        </w:rPr>
      </w:pPr>
      <w:r>
        <w:rPr>
          <w:rFonts w:ascii="Times New Roman" w:hAnsi="Times New Roman"/>
          <w:color w:val="000000"/>
        </w:rPr>
        <w:t>招标人在收到评标报告之日起3日内，按照投标人须知前附表规定的公示媒介和期限公示中标候选人，公示期不得少于3天。</w:t>
      </w:r>
    </w:p>
    <w:p w14:paraId="1FA39A5D">
      <w:pPr>
        <w:pStyle w:val="4"/>
        <w:spacing w:line="240" w:lineRule="auto"/>
        <w:ind w:firstLine="137"/>
        <w:rPr>
          <w:rFonts w:ascii="Times New Roman" w:hAnsi="Times New Roman"/>
          <w:color w:val="000000"/>
        </w:rPr>
      </w:pPr>
      <w:bookmarkStart w:id="213" w:name="_Toc2980"/>
      <w:r>
        <w:rPr>
          <w:rFonts w:hint="eastAsia" w:ascii="Times New Roman" w:hAnsi="Times New Roman"/>
          <w:color w:val="000000"/>
          <w:lang w:val="en-US" w:eastAsia="zh-CN"/>
        </w:rPr>
        <w:t>7</w:t>
      </w:r>
      <w:r>
        <w:rPr>
          <w:rFonts w:ascii="Times New Roman" w:hAnsi="Times New Roman"/>
          <w:color w:val="000000"/>
        </w:rPr>
        <w:t>.2 评标结果异议</w:t>
      </w:r>
      <w:bookmarkEnd w:id="213"/>
    </w:p>
    <w:p w14:paraId="273882F4">
      <w:pPr>
        <w:spacing w:line="400" w:lineRule="exact"/>
        <w:ind w:firstLine="420" w:firstLineChars="200"/>
        <w:rPr>
          <w:rFonts w:ascii="Times New Roman" w:hAnsi="Times New Roman"/>
          <w:color w:val="000000"/>
        </w:rPr>
      </w:pPr>
      <w:r>
        <w:rPr>
          <w:rFonts w:ascii="Times New Roman" w:hAnsi="Times New Roman"/>
          <w:color w:val="000000"/>
        </w:rPr>
        <w:t>投标人或者其他利</w:t>
      </w:r>
      <w:bookmarkStart w:id="214" w:name="_Toc152042337"/>
      <w:bookmarkStart w:id="215" w:name="_Toc352691505"/>
      <w:bookmarkStart w:id="216" w:name="_Toc144974529"/>
      <w:bookmarkStart w:id="217" w:name="_Toc384308243"/>
      <w:bookmarkStart w:id="218" w:name="_Toc247527586"/>
      <w:bookmarkStart w:id="219" w:name="_Toc30095"/>
      <w:bookmarkStart w:id="220" w:name="_Toc369531549"/>
      <w:bookmarkStart w:id="221" w:name="_Toc152045561"/>
      <w:bookmarkStart w:id="222" w:name="_Toc300834982"/>
      <w:bookmarkStart w:id="223" w:name="_Toc361508618"/>
      <w:bookmarkStart w:id="224" w:name="_Toc247513985"/>
      <w:r>
        <w:rPr>
          <w:rFonts w:ascii="Times New Roman" w:hAnsi="Times New Roman"/>
          <w:color w:val="000000"/>
        </w:rPr>
        <w:t>害关系人对评标结</w:t>
      </w:r>
      <w:bookmarkEnd w:id="214"/>
      <w:bookmarkEnd w:id="215"/>
      <w:bookmarkEnd w:id="216"/>
      <w:bookmarkEnd w:id="217"/>
      <w:bookmarkEnd w:id="218"/>
      <w:bookmarkEnd w:id="219"/>
      <w:bookmarkEnd w:id="220"/>
      <w:bookmarkEnd w:id="221"/>
      <w:bookmarkEnd w:id="222"/>
      <w:bookmarkEnd w:id="223"/>
      <w:bookmarkEnd w:id="224"/>
      <w:r>
        <w:rPr>
          <w:rFonts w:ascii="Times New Roman" w:hAnsi="Times New Roman"/>
          <w:color w:val="000000"/>
        </w:rPr>
        <w:t>果有异议的，应当在中标候选人公示期间提出。招标人将在收到异议之日起3日内作出答复；作出答复前，将暂停招标投标活动。</w:t>
      </w:r>
    </w:p>
    <w:p w14:paraId="7341561B">
      <w:pPr>
        <w:pStyle w:val="4"/>
        <w:spacing w:line="240" w:lineRule="auto"/>
        <w:ind w:firstLine="137"/>
        <w:rPr>
          <w:rFonts w:ascii="Times New Roman" w:hAnsi="Times New Roman"/>
          <w:color w:val="000000"/>
        </w:rPr>
      </w:pPr>
      <w:bookmarkStart w:id="225" w:name="_Toc30979"/>
      <w:r>
        <w:rPr>
          <w:rFonts w:hint="eastAsia" w:ascii="Times New Roman" w:hAnsi="Times New Roman"/>
          <w:color w:val="000000"/>
          <w:lang w:val="en-US" w:eastAsia="zh-CN"/>
        </w:rPr>
        <w:t>7</w:t>
      </w:r>
      <w:r>
        <w:rPr>
          <w:rFonts w:ascii="Times New Roman" w:hAnsi="Times New Roman"/>
          <w:color w:val="000000"/>
        </w:rPr>
        <w:t>.3 中标候选人履约能力审查</w:t>
      </w:r>
      <w:bookmarkEnd w:id="225"/>
    </w:p>
    <w:p w14:paraId="5EC75B48">
      <w:pPr>
        <w:spacing w:line="400" w:lineRule="exact"/>
        <w:ind w:firstLine="420" w:firstLineChars="200"/>
        <w:rPr>
          <w:rFonts w:ascii="Times New Roman" w:hAnsi="Times New Roman"/>
          <w:color w:val="000000"/>
        </w:rPr>
      </w:pPr>
      <w:r>
        <w:rPr>
          <w:rFonts w:ascii="Times New Roman" w:hAnsi="Times New Roman"/>
          <w:color w:val="000000"/>
        </w:rPr>
        <w:t>中标候选人的经营、财务状况发生较大变化或存在违法行为，招标人认为可能影响其履约能力的，将在发出中标通知书前提请原评标委员会按照招标文件规定的标准和方法进行审查确认。</w:t>
      </w:r>
    </w:p>
    <w:p w14:paraId="1581148C">
      <w:pPr>
        <w:pStyle w:val="4"/>
        <w:spacing w:line="240" w:lineRule="auto"/>
        <w:ind w:firstLine="137"/>
        <w:rPr>
          <w:rFonts w:ascii="Times New Roman" w:hAnsi="Times New Roman"/>
          <w:color w:val="000000"/>
        </w:rPr>
      </w:pPr>
      <w:bookmarkStart w:id="226" w:name="_Toc20832"/>
      <w:r>
        <w:rPr>
          <w:rFonts w:hint="eastAsia" w:ascii="Times New Roman" w:hAnsi="Times New Roman"/>
          <w:color w:val="000000"/>
          <w:lang w:val="en-US" w:eastAsia="zh-CN"/>
        </w:rPr>
        <w:t>7</w:t>
      </w:r>
      <w:r>
        <w:rPr>
          <w:rFonts w:ascii="Times New Roman" w:hAnsi="Times New Roman"/>
          <w:color w:val="000000"/>
        </w:rPr>
        <w:t>.</w:t>
      </w:r>
      <w:r>
        <w:rPr>
          <w:rFonts w:hint="eastAsia" w:ascii="Times New Roman" w:hAnsi="Times New Roman"/>
          <w:color w:val="000000"/>
          <w:lang w:val="en-US" w:eastAsia="zh-CN"/>
        </w:rPr>
        <w:t>4</w:t>
      </w:r>
      <w:r>
        <w:rPr>
          <w:rFonts w:ascii="Times New Roman" w:hAnsi="Times New Roman"/>
          <w:color w:val="000000"/>
        </w:rPr>
        <w:t xml:space="preserve"> 中标通知</w:t>
      </w:r>
      <w:bookmarkEnd w:id="226"/>
    </w:p>
    <w:p w14:paraId="757E761C">
      <w:pPr>
        <w:spacing w:line="400" w:lineRule="exact"/>
        <w:ind w:firstLine="420" w:firstLineChars="200"/>
        <w:rPr>
          <w:rFonts w:ascii="Times New Roman" w:hAnsi="Times New Roman"/>
          <w:color w:val="000000"/>
        </w:rPr>
      </w:pPr>
      <w:r>
        <w:rPr>
          <w:rFonts w:ascii="Times New Roman" w:hAnsi="Times New Roman"/>
          <w:color w:val="000000"/>
        </w:rPr>
        <w:t>在本章第3.3款规定的投标有效期内，招标人以书面形式向中标人发出中标</w:t>
      </w:r>
      <w:bookmarkStart w:id="227" w:name="_Toc384308244"/>
      <w:bookmarkStart w:id="228" w:name="_Toc369531550"/>
      <w:bookmarkStart w:id="229" w:name="_Toc361508619"/>
      <w:bookmarkStart w:id="230" w:name="_Toc300834983"/>
      <w:bookmarkStart w:id="231" w:name="_Toc5668"/>
      <w:bookmarkStart w:id="232" w:name="_Toc352691506"/>
      <w:r>
        <w:rPr>
          <w:rFonts w:ascii="Times New Roman" w:hAnsi="Times New Roman"/>
          <w:color w:val="000000"/>
        </w:rPr>
        <w:t>通知书，同时将中</w:t>
      </w:r>
      <w:bookmarkEnd w:id="227"/>
      <w:bookmarkEnd w:id="228"/>
      <w:bookmarkEnd w:id="229"/>
      <w:bookmarkEnd w:id="230"/>
      <w:bookmarkEnd w:id="231"/>
      <w:bookmarkEnd w:id="232"/>
      <w:r>
        <w:rPr>
          <w:rFonts w:ascii="Times New Roman" w:hAnsi="Times New Roman"/>
          <w:color w:val="000000"/>
        </w:rPr>
        <w:t>标结果通知未中标的投标人。</w:t>
      </w:r>
    </w:p>
    <w:p w14:paraId="533EF4D7">
      <w:pPr>
        <w:pStyle w:val="4"/>
        <w:spacing w:line="240" w:lineRule="auto"/>
        <w:ind w:firstLine="137"/>
        <w:rPr>
          <w:rFonts w:ascii="Times New Roman" w:hAnsi="Times New Roman"/>
          <w:color w:val="000000"/>
        </w:rPr>
      </w:pPr>
      <w:bookmarkStart w:id="233" w:name="_Toc19530"/>
      <w:r>
        <w:rPr>
          <w:rFonts w:hint="eastAsia" w:ascii="Times New Roman" w:hAnsi="Times New Roman"/>
          <w:color w:val="000000"/>
          <w:lang w:val="en-US" w:eastAsia="zh-CN"/>
        </w:rPr>
        <w:t>7</w:t>
      </w:r>
      <w:r>
        <w:rPr>
          <w:rFonts w:ascii="Times New Roman" w:hAnsi="Times New Roman"/>
          <w:color w:val="000000"/>
        </w:rPr>
        <w:t>.</w:t>
      </w:r>
      <w:r>
        <w:rPr>
          <w:rFonts w:hint="eastAsia" w:ascii="Times New Roman" w:hAnsi="Times New Roman"/>
          <w:color w:val="000000"/>
          <w:lang w:val="en-US" w:eastAsia="zh-CN"/>
        </w:rPr>
        <w:t>5</w:t>
      </w:r>
      <w:r>
        <w:rPr>
          <w:rFonts w:ascii="Times New Roman" w:hAnsi="Times New Roman"/>
          <w:color w:val="000000"/>
        </w:rPr>
        <w:t xml:space="preserve"> 履约保证金</w:t>
      </w:r>
      <w:bookmarkEnd w:id="233"/>
    </w:p>
    <w:p w14:paraId="40543727">
      <w:pPr>
        <w:spacing w:line="400" w:lineRule="exact"/>
        <w:ind w:firstLine="420" w:firstLineChars="200"/>
        <w:rPr>
          <w:rFonts w:ascii="Times New Roman" w:hAnsi="Times New Roman"/>
          <w:color w:val="000000"/>
        </w:rPr>
      </w:pPr>
      <w:r>
        <w:rPr>
          <w:rFonts w:hint="eastAsia" w:ascii="Times New Roman" w:hAnsi="Times New Roman"/>
          <w:color w:val="000000"/>
          <w:lang w:val="en-US" w:eastAsia="zh-CN"/>
        </w:rPr>
        <w:t>7.5</w:t>
      </w:r>
      <w:r>
        <w:rPr>
          <w:rFonts w:ascii="Times New Roman" w:hAnsi="Times New Roman"/>
          <w:color w:val="000000"/>
        </w:rPr>
        <w:t xml:space="preserve">.1 </w:t>
      </w:r>
      <w:r>
        <w:rPr>
          <w:rFonts w:hint="eastAsia" w:ascii="Times New Roman" w:hAnsi="Times New Roman"/>
          <w:color w:val="000000"/>
        </w:rPr>
        <w:t>在签订合同前，</w:t>
      </w:r>
      <w:r>
        <w:rPr>
          <w:rFonts w:ascii="Times New Roman" w:hAnsi="Times New Roman"/>
          <w:color w:val="000000"/>
        </w:rPr>
        <w:t>中标人应按投标人须知前附表规定的形式、金额和招标文件第四章“合同条款及格式”规定的或者事先经过招标人书面认可的履约保证金格式向招标人提交履约保证金。除投标人须知前附表另有规定外，履约保证金为中标合同金额的10%。联合体中标的，其履约保证金以联合体各方或者联合体中牵头人的名义提交。</w:t>
      </w:r>
    </w:p>
    <w:p w14:paraId="5F9D09EF">
      <w:pPr>
        <w:spacing w:line="400" w:lineRule="exact"/>
        <w:ind w:firstLine="420" w:firstLineChars="200"/>
        <w:rPr>
          <w:rFonts w:ascii="Times New Roman" w:hAnsi="Times New Roman"/>
          <w:color w:val="000000"/>
        </w:rPr>
      </w:pPr>
      <w:r>
        <w:rPr>
          <w:rFonts w:hint="eastAsia" w:ascii="Times New Roman" w:hAnsi="Times New Roman"/>
          <w:color w:val="000000"/>
          <w:lang w:val="en-US" w:eastAsia="zh-CN"/>
        </w:rPr>
        <w:t>7.5</w:t>
      </w:r>
      <w:r>
        <w:rPr>
          <w:rFonts w:ascii="Times New Roman" w:hAnsi="Times New Roman"/>
          <w:color w:val="000000"/>
        </w:rPr>
        <w:t>.2 中标人不能按本章第</w:t>
      </w:r>
      <w:r>
        <w:rPr>
          <w:rFonts w:hint="eastAsia" w:ascii="Times New Roman" w:hAnsi="Times New Roman"/>
          <w:color w:val="000000"/>
          <w:lang w:val="en-US" w:eastAsia="zh-CN"/>
        </w:rPr>
        <w:t>7.5</w:t>
      </w:r>
      <w:r>
        <w:rPr>
          <w:rFonts w:ascii="Times New Roman" w:hAnsi="Times New Roman"/>
          <w:color w:val="000000"/>
        </w:rPr>
        <w:t>.1项要求提交履约保证金的，视为放弃中标，其投标保证金不予退还，给招标人造成的损失超过投标保证金数额的，中标人还应当对超过部分予以赔偿。</w:t>
      </w:r>
    </w:p>
    <w:p w14:paraId="4A81D286">
      <w:pPr>
        <w:spacing w:line="400" w:lineRule="exact"/>
        <w:ind w:firstLine="420" w:firstLineChars="200"/>
        <w:rPr>
          <w:rFonts w:ascii="Times New Roman" w:hAnsi="Times New Roman"/>
          <w:color w:val="000000"/>
        </w:rPr>
      </w:pPr>
      <w:r>
        <w:rPr>
          <w:rFonts w:hint="eastAsia" w:ascii="Times New Roman" w:hAnsi="Times New Roman"/>
          <w:color w:val="000000"/>
        </w:rPr>
        <w:t>7.5.3招标人要求中标人提供履约保证金或者其他形式履约担保的，招标人应当同时向中标人提供工程款支付担保，工程款支付担保金额不得低于履约担保金额。</w:t>
      </w:r>
    </w:p>
    <w:p w14:paraId="1EF40589">
      <w:pPr>
        <w:pStyle w:val="4"/>
        <w:spacing w:line="240" w:lineRule="auto"/>
        <w:ind w:firstLine="137"/>
        <w:rPr>
          <w:rFonts w:ascii="Times New Roman" w:hAnsi="Times New Roman"/>
          <w:color w:val="000000"/>
        </w:rPr>
      </w:pPr>
      <w:bookmarkStart w:id="234" w:name="_Toc24380"/>
      <w:r>
        <w:rPr>
          <w:rFonts w:hint="eastAsia" w:ascii="Times New Roman" w:hAnsi="Times New Roman"/>
          <w:color w:val="000000"/>
          <w:lang w:val="en-US" w:eastAsia="zh-CN"/>
        </w:rPr>
        <w:t>7</w:t>
      </w:r>
      <w:r>
        <w:rPr>
          <w:rFonts w:ascii="Times New Roman" w:hAnsi="Times New Roman"/>
          <w:color w:val="000000"/>
        </w:rPr>
        <w:t>.</w:t>
      </w:r>
      <w:r>
        <w:rPr>
          <w:rFonts w:hint="eastAsia" w:ascii="Times New Roman" w:hAnsi="Times New Roman"/>
          <w:color w:val="000000"/>
          <w:lang w:val="en-US" w:eastAsia="zh-CN"/>
        </w:rPr>
        <w:t>6</w:t>
      </w:r>
      <w:r>
        <w:rPr>
          <w:rFonts w:ascii="Times New Roman" w:hAnsi="Times New Roman"/>
          <w:color w:val="000000"/>
        </w:rPr>
        <w:t xml:space="preserve"> 签订合同</w:t>
      </w:r>
      <w:bookmarkEnd w:id="234"/>
    </w:p>
    <w:p w14:paraId="087C3DAF">
      <w:pPr>
        <w:spacing w:line="400" w:lineRule="exact"/>
        <w:ind w:firstLine="420" w:firstLineChars="200"/>
        <w:rPr>
          <w:rFonts w:ascii="Times New Roman" w:hAnsi="Times New Roman"/>
          <w:color w:val="000000"/>
        </w:rPr>
      </w:pPr>
      <w:r>
        <w:rPr>
          <w:rFonts w:hint="eastAsia" w:ascii="Times New Roman" w:hAnsi="Times New Roman"/>
          <w:color w:val="000000"/>
          <w:lang w:val="en-US" w:eastAsia="zh-CN"/>
        </w:rPr>
        <w:t>7.6</w:t>
      </w:r>
      <w:r>
        <w:rPr>
          <w:rFonts w:ascii="Times New Roman" w:hAnsi="Times New Roman"/>
          <w:color w:val="000000"/>
        </w:rPr>
        <w:t>.1 招标人和中标人应当在中标通知书发出之日起</w:t>
      </w:r>
      <w:bookmarkStart w:id="235" w:name="_Toc384308247"/>
      <w:bookmarkStart w:id="236" w:name="_Toc144974532"/>
      <w:bookmarkStart w:id="237" w:name="_Toc152042340"/>
      <w:bookmarkStart w:id="238" w:name="_Toc300834986"/>
      <w:bookmarkStart w:id="239" w:name="_Toc4656"/>
      <w:bookmarkStart w:id="240" w:name="_Toc247527589"/>
      <w:bookmarkStart w:id="241" w:name="_Toc352691509"/>
      <w:bookmarkStart w:id="242" w:name="_Toc369531553"/>
      <w:bookmarkStart w:id="243" w:name="_Toc247513988"/>
      <w:bookmarkStart w:id="244" w:name="_Toc152045564"/>
      <w:bookmarkStart w:id="245" w:name="_Toc361508622"/>
      <w:r>
        <w:rPr>
          <w:rFonts w:ascii="Times New Roman" w:hAnsi="Times New Roman"/>
          <w:color w:val="000000"/>
        </w:rPr>
        <w:t>30日内，根据招</w:t>
      </w:r>
      <w:bookmarkEnd w:id="235"/>
      <w:bookmarkEnd w:id="236"/>
      <w:bookmarkEnd w:id="237"/>
      <w:bookmarkEnd w:id="238"/>
      <w:bookmarkEnd w:id="239"/>
      <w:bookmarkEnd w:id="240"/>
      <w:bookmarkEnd w:id="241"/>
      <w:bookmarkEnd w:id="242"/>
      <w:bookmarkEnd w:id="243"/>
      <w:bookmarkEnd w:id="244"/>
      <w:bookmarkEnd w:id="245"/>
      <w:r>
        <w:rPr>
          <w:rFonts w:ascii="Times New Roman" w:hAnsi="Times New Roman"/>
          <w:color w:val="000000"/>
        </w:rPr>
        <w:t>标文件和中标人的投标文件订立书面合同。中标人</w:t>
      </w:r>
      <w:r>
        <w:rPr>
          <w:rFonts w:hint="eastAsia"/>
        </w:rPr>
        <w:t>无正当理由拒签合同，在签订合同时向招标人提出附加条件，或者不按照招标文件要求提交履约保证金的</w:t>
      </w:r>
      <w:r>
        <w:rPr>
          <w:rFonts w:ascii="Times New Roman" w:hAnsi="Times New Roman"/>
          <w:color w:val="000000"/>
        </w:rPr>
        <w:t>，招标人有权取消其中标资格，其投标保证金不予退还；给招标人造成的损失超过投标保证金数额的，中标人还应当对超过部分予以赔偿。</w:t>
      </w:r>
    </w:p>
    <w:p w14:paraId="478A96DB">
      <w:pPr>
        <w:spacing w:line="400" w:lineRule="exact"/>
        <w:ind w:firstLine="420" w:firstLineChars="200"/>
        <w:rPr>
          <w:rFonts w:ascii="Times New Roman" w:hAnsi="Times New Roman"/>
          <w:color w:val="000000"/>
        </w:rPr>
      </w:pPr>
      <w:r>
        <w:rPr>
          <w:rFonts w:hint="eastAsia" w:ascii="Times New Roman" w:hAnsi="Times New Roman"/>
          <w:color w:val="000000"/>
          <w:lang w:val="en-US" w:eastAsia="zh-CN"/>
        </w:rPr>
        <w:t>7.6</w:t>
      </w:r>
      <w:r>
        <w:rPr>
          <w:rFonts w:ascii="Times New Roman" w:hAnsi="Times New Roman"/>
          <w:color w:val="000000"/>
        </w:rPr>
        <w:t>.2 发出中标通知书后，招标人无正当理由拒签合同，或者</w:t>
      </w:r>
      <w:r>
        <w:rPr>
          <w:rFonts w:hint="eastAsia"/>
        </w:rPr>
        <w:t>在签订合同时向中标人</w:t>
      </w:r>
      <w:r>
        <w:rPr>
          <w:rFonts w:ascii="Times New Roman" w:hAnsi="Times New Roman"/>
          <w:color w:val="000000"/>
        </w:rPr>
        <w:t>提出附加条件的，招标人向中标人退还投标保证金；给中标人造成损失的，还应当赔偿损失。</w:t>
      </w:r>
    </w:p>
    <w:p w14:paraId="69F16037">
      <w:pPr>
        <w:spacing w:line="400" w:lineRule="exact"/>
        <w:ind w:firstLine="420" w:firstLineChars="200"/>
        <w:rPr>
          <w:rFonts w:ascii="Times New Roman" w:hAnsi="Times New Roman"/>
          <w:color w:val="000000"/>
          <w:szCs w:val="21"/>
        </w:rPr>
      </w:pPr>
      <w:r>
        <w:rPr>
          <w:rFonts w:hint="eastAsia" w:ascii="Times New Roman" w:hAnsi="Times New Roman"/>
          <w:color w:val="000000"/>
          <w:lang w:val="en-US" w:eastAsia="zh-CN"/>
        </w:rPr>
        <w:t>7.6</w:t>
      </w:r>
      <w:r>
        <w:rPr>
          <w:rFonts w:ascii="Times New Roman" w:hAnsi="Times New Roman"/>
          <w:color w:val="000000"/>
        </w:rPr>
        <w:t>.3</w:t>
      </w:r>
      <w:r>
        <w:rPr>
          <w:rFonts w:ascii="Times New Roman" w:hAnsi="Times New Roman"/>
          <w:color w:val="000000"/>
          <w:szCs w:val="21"/>
        </w:rPr>
        <w:t>联合体中标的，联合体各方应当共同与招标人签订合同，就中标项目向招标人承担连带责任。</w:t>
      </w:r>
    </w:p>
    <w:p w14:paraId="4EA4A394">
      <w:pPr>
        <w:pStyle w:val="3"/>
        <w:rPr>
          <w:rFonts w:ascii="Times New Roman" w:hAnsi="Times New Roman"/>
          <w:color w:val="000000"/>
        </w:rPr>
      </w:pPr>
      <w:bookmarkStart w:id="246" w:name="_Toc384308252"/>
      <w:bookmarkStart w:id="247" w:name="_Toc361508627"/>
      <w:bookmarkStart w:id="248" w:name="_Toc24067"/>
      <w:bookmarkStart w:id="249" w:name="_Toc11335"/>
      <w:bookmarkStart w:id="250" w:name="_Toc247513992"/>
      <w:bookmarkStart w:id="251" w:name="_Toc152042344"/>
      <w:bookmarkStart w:id="252" w:name="_Toc144974536"/>
      <w:bookmarkStart w:id="253" w:name="_Toc247527593"/>
      <w:bookmarkStart w:id="254" w:name="_Toc152045568"/>
      <w:bookmarkStart w:id="255" w:name="_Toc300834991"/>
      <w:r>
        <w:rPr>
          <w:rFonts w:hint="eastAsia" w:ascii="Times New Roman" w:hAnsi="Times New Roman"/>
          <w:color w:val="000000"/>
          <w:lang w:val="en-US" w:eastAsia="zh-CN"/>
        </w:rPr>
        <w:t>8</w:t>
      </w:r>
      <w:r>
        <w:rPr>
          <w:rFonts w:ascii="Times New Roman" w:hAnsi="Times New Roman"/>
          <w:color w:val="000000"/>
        </w:rPr>
        <w:t>.</w:t>
      </w:r>
      <w:bookmarkEnd w:id="246"/>
      <w:bookmarkEnd w:id="247"/>
      <w:bookmarkEnd w:id="248"/>
      <w:r>
        <w:rPr>
          <w:rFonts w:ascii="Times New Roman" w:hAnsi="Times New Roman"/>
          <w:color w:val="000000"/>
        </w:rPr>
        <w:t>纪律和监督</w:t>
      </w:r>
      <w:bookmarkEnd w:id="249"/>
    </w:p>
    <w:p w14:paraId="65B4076F">
      <w:pPr>
        <w:pStyle w:val="4"/>
        <w:spacing w:line="240" w:lineRule="auto"/>
        <w:ind w:firstLine="137"/>
        <w:rPr>
          <w:rFonts w:ascii="Times New Roman" w:hAnsi="Times New Roman"/>
          <w:color w:val="000000"/>
        </w:rPr>
      </w:pPr>
      <w:bookmarkStart w:id="256" w:name="_Toc16561"/>
      <w:r>
        <w:rPr>
          <w:rFonts w:hint="eastAsia" w:ascii="Times New Roman" w:hAnsi="Times New Roman"/>
          <w:color w:val="000000"/>
          <w:lang w:val="en-US" w:eastAsia="zh-CN"/>
        </w:rPr>
        <w:t>8</w:t>
      </w:r>
      <w:r>
        <w:rPr>
          <w:rFonts w:ascii="Times New Roman" w:hAnsi="Times New Roman"/>
          <w:color w:val="000000"/>
        </w:rPr>
        <w:t>.1 对招标人的纪律要求</w:t>
      </w:r>
      <w:bookmarkEnd w:id="256"/>
    </w:p>
    <w:p w14:paraId="0363B880">
      <w:pPr>
        <w:spacing w:line="400" w:lineRule="exact"/>
        <w:ind w:firstLine="420" w:firstLineChars="200"/>
        <w:rPr>
          <w:rFonts w:ascii="Times New Roman" w:hAnsi="Times New Roman"/>
          <w:color w:val="000000"/>
        </w:rPr>
      </w:pPr>
      <w:r>
        <w:rPr>
          <w:rFonts w:ascii="Times New Roman" w:hAnsi="Times New Roman"/>
          <w:color w:val="000000"/>
        </w:rPr>
        <w:t>招标人不得泄露招标投标活动中应当保密的情况和资料，不得与投标人串通损害国家利益、社会公共利益或者他人合法权益。</w:t>
      </w:r>
    </w:p>
    <w:p w14:paraId="406E6D54">
      <w:pPr>
        <w:pStyle w:val="4"/>
        <w:spacing w:line="240" w:lineRule="auto"/>
        <w:ind w:firstLine="137"/>
        <w:rPr>
          <w:rFonts w:ascii="Times New Roman" w:hAnsi="Times New Roman"/>
          <w:color w:val="000000"/>
        </w:rPr>
      </w:pPr>
      <w:bookmarkStart w:id="257" w:name="_Toc10562"/>
      <w:r>
        <w:rPr>
          <w:rFonts w:hint="eastAsia" w:ascii="Times New Roman" w:hAnsi="Times New Roman"/>
          <w:color w:val="000000"/>
          <w:lang w:val="en-US" w:eastAsia="zh-CN"/>
        </w:rPr>
        <w:t>8</w:t>
      </w:r>
      <w:r>
        <w:rPr>
          <w:rFonts w:ascii="Times New Roman" w:hAnsi="Times New Roman"/>
          <w:color w:val="000000"/>
        </w:rPr>
        <w:t>.2 对投标人的纪律要求</w:t>
      </w:r>
      <w:bookmarkEnd w:id="257"/>
    </w:p>
    <w:p w14:paraId="01E638E3">
      <w:pPr>
        <w:spacing w:line="400" w:lineRule="exact"/>
        <w:ind w:firstLine="420" w:firstLineChars="200"/>
        <w:rPr>
          <w:rFonts w:ascii="Times New Roman" w:hAnsi="Times New Roman"/>
          <w:color w:val="000000"/>
        </w:rPr>
      </w:pPr>
      <w:r>
        <w:rPr>
          <w:rFonts w:ascii="Times New Roman" w:hAnsi="Times New Roman"/>
          <w:color w:val="000000"/>
        </w:rPr>
        <w:t>投标人不得相互串通投标或者与招标人串通投标，不得向招标人或者评标委员会成员行贿谋取中标，不得以他人名义投标或者以其他方式弄虚作假骗取中标；投标人不得以任何方式干扰、影响评标工作。</w:t>
      </w:r>
    </w:p>
    <w:p w14:paraId="42A5525A">
      <w:pPr>
        <w:pStyle w:val="4"/>
        <w:spacing w:line="240" w:lineRule="auto"/>
        <w:ind w:firstLine="137"/>
        <w:rPr>
          <w:rFonts w:ascii="Times New Roman" w:hAnsi="Times New Roman"/>
          <w:color w:val="000000"/>
        </w:rPr>
      </w:pPr>
      <w:bookmarkStart w:id="258" w:name="_Toc29907"/>
      <w:r>
        <w:rPr>
          <w:rFonts w:hint="eastAsia" w:ascii="Times New Roman" w:hAnsi="Times New Roman"/>
          <w:color w:val="000000"/>
          <w:lang w:val="en-US" w:eastAsia="zh-CN"/>
        </w:rPr>
        <w:t>8</w:t>
      </w:r>
      <w:r>
        <w:rPr>
          <w:rFonts w:ascii="Times New Roman" w:hAnsi="Times New Roman"/>
          <w:color w:val="000000"/>
        </w:rPr>
        <w:t>.3 对评标委员会成员的纪律要求</w:t>
      </w:r>
      <w:bookmarkEnd w:id="258"/>
    </w:p>
    <w:p w14:paraId="15C54061">
      <w:pPr>
        <w:spacing w:line="400" w:lineRule="exact"/>
        <w:ind w:firstLine="420" w:firstLineChars="200"/>
        <w:rPr>
          <w:rFonts w:ascii="Times New Roman" w:hAnsi="Times New Roman"/>
          <w:color w:val="000000"/>
        </w:rPr>
      </w:pPr>
      <w:r>
        <w:rPr>
          <w:rFonts w:ascii="Times New Roman" w:hAnsi="Times New Roman"/>
          <w:color w:val="000000"/>
        </w:rPr>
        <w:t>评标委员会成员不得收受他人的财物或者其他好处，不得向他人透露对投标文件的评审</w:t>
      </w:r>
      <w:bookmarkStart w:id="259" w:name="_Toc384308253"/>
      <w:bookmarkStart w:id="260" w:name="_Toc361508628"/>
      <w:bookmarkStart w:id="261" w:name="_Toc369531559"/>
      <w:bookmarkStart w:id="262" w:name="_Toc13644"/>
      <w:bookmarkStart w:id="263" w:name="_Toc352691515"/>
      <w:r>
        <w:rPr>
          <w:rFonts w:ascii="Times New Roman" w:hAnsi="Times New Roman"/>
          <w:color w:val="000000"/>
        </w:rPr>
        <w:t>和比较、中标候选人</w:t>
      </w:r>
      <w:bookmarkEnd w:id="250"/>
      <w:bookmarkEnd w:id="251"/>
      <w:bookmarkEnd w:id="252"/>
      <w:bookmarkEnd w:id="253"/>
      <w:bookmarkEnd w:id="254"/>
      <w:bookmarkEnd w:id="255"/>
      <w:bookmarkEnd w:id="259"/>
      <w:bookmarkEnd w:id="260"/>
      <w:bookmarkEnd w:id="261"/>
      <w:bookmarkEnd w:id="262"/>
      <w:bookmarkEnd w:id="263"/>
      <w:r>
        <w:rPr>
          <w:rFonts w:ascii="Times New Roman" w:hAnsi="Times New Roman"/>
          <w:color w:val="000000"/>
        </w:rPr>
        <w:t>的推荐情况以及评标有关的其他情况。在评标活动中，评标委员会成员应当客观、公正地履行职责，遵守职业道德，不得擅离职守，影响评标程序正常进行，不得使用第三章“评标办法”没有规定的评审因素和标准进行评标。</w:t>
      </w:r>
    </w:p>
    <w:p w14:paraId="1C87BF9E">
      <w:pPr>
        <w:pStyle w:val="4"/>
        <w:spacing w:line="240" w:lineRule="auto"/>
        <w:ind w:firstLine="137"/>
        <w:rPr>
          <w:rFonts w:ascii="Times New Roman" w:hAnsi="Times New Roman"/>
          <w:color w:val="000000"/>
        </w:rPr>
      </w:pPr>
      <w:bookmarkStart w:id="264" w:name="_Toc24126"/>
      <w:r>
        <w:rPr>
          <w:rFonts w:hint="eastAsia" w:ascii="Times New Roman" w:hAnsi="Times New Roman"/>
          <w:color w:val="000000"/>
          <w:lang w:val="en-US" w:eastAsia="zh-CN"/>
        </w:rPr>
        <w:t>8</w:t>
      </w:r>
      <w:r>
        <w:rPr>
          <w:rFonts w:ascii="Times New Roman" w:hAnsi="Times New Roman"/>
          <w:color w:val="000000"/>
        </w:rPr>
        <w:t>.4 对与评标活动有关的工作人员的纪律要求</w:t>
      </w:r>
      <w:bookmarkEnd w:id="264"/>
    </w:p>
    <w:p w14:paraId="3840C2E0">
      <w:pPr>
        <w:spacing w:line="400" w:lineRule="exact"/>
        <w:ind w:firstLine="420" w:firstLineChars="200"/>
        <w:rPr>
          <w:rFonts w:ascii="Times New Roman" w:hAnsi="Times New Roman"/>
          <w:color w:val="000000"/>
        </w:rPr>
      </w:pPr>
      <w:r>
        <w:rPr>
          <w:rFonts w:ascii="Times New Roman" w:hAnsi="Times New Roman"/>
          <w:color w:val="000000"/>
        </w:rPr>
        <w:t>与评标活动有关的工作人员不得收受他人的财物或者其他好处，不得向他人透露对投标文件</w:t>
      </w:r>
      <w:bookmarkStart w:id="265" w:name="_Toc361508629"/>
      <w:bookmarkStart w:id="266" w:name="_Toc247527594"/>
      <w:bookmarkStart w:id="267" w:name="_Toc300834992"/>
      <w:bookmarkStart w:id="268" w:name="_Toc369531560"/>
      <w:bookmarkStart w:id="269" w:name="_Toc152042345"/>
      <w:bookmarkStart w:id="270" w:name="_Toc152045569"/>
      <w:bookmarkStart w:id="271" w:name="_Toc144974537"/>
      <w:bookmarkStart w:id="272" w:name="_Toc19429"/>
      <w:bookmarkStart w:id="273" w:name="_Toc384308254"/>
      <w:bookmarkStart w:id="274" w:name="_Toc352691516"/>
      <w:bookmarkStart w:id="275" w:name="_Toc247513993"/>
      <w:r>
        <w:rPr>
          <w:rFonts w:ascii="Times New Roman" w:hAnsi="Times New Roman"/>
          <w:color w:val="000000"/>
        </w:rPr>
        <w:t>的评审和比较、中标</w:t>
      </w:r>
      <w:bookmarkEnd w:id="265"/>
      <w:bookmarkEnd w:id="266"/>
      <w:bookmarkEnd w:id="267"/>
      <w:bookmarkEnd w:id="268"/>
      <w:bookmarkEnd w:id="269"/>
      <w:bookmarkEnd w:id="270"/>
      <w:bookmarkEnd w:id="271"/>
      <w:bookmarkEnd w:id="272"/>
      <w:bookmarkEnd w:id="273"/>
      <w:bookmarkEnd w:id="274"/>
      <w:bookmarkEnd w:id="275"/>
      <w:r>
        <w:rPr>
          <w:rFonts w:ascii="Times New Roman" w:hAnsi="Times New Roman"/>
          <w:color w:val="000000"/>
        </w:rPr>
        <w:t>候选人的推荐情况以及评标有关的其他情况。在评标活动中，与评标活动有关的工作人员不得擅离职守，影响评标程序正常进行。</w:t>
      </w:r>
    </w:p>
    <w:p w14:paraId="23C192F9">
      <w:pPr>
        <w:pStyle w:val="4"/>
        <w:spacing w:line="240" w:lineRule="auto"/>
        <w:ind w:firstLine="137"/>
        <w:rPr>
          <w:rFonts w:ascii="Times New Roman" w:hAnsi="Times New Roman"/>
          <w:color w:val="000000"/>
        </w:rPr>
      </w:pPr>
      <w:bookmarkStart w:id="276" w:name="_Toc27094"/>
      <w:r>
        <w:rPr>
          <w:rFonts w:hint="eastAsia" w:ascii="Times New Roman" w:hAnsi="Times New Roman"/>
          <w:color w:val="000000"/>
          <w:lang w:val="en-US" w:eastAsia="zh-CN"/>
        </w:rPr>
        <w:t>8</w:t>
      </w:r>
      <w:r>
        <w:rPr>
          <w:rFonts w:ascii="Times New Roman" w:hAnsi="Times New Roman"/>
          <w:color w:val="000000"/>
        </w:rPr>
        <w:t>.5 投诉</w:t>
      </w:r>
      <w:bookmarkEnd w:id="276"/>
    </w:p>
    <w:p w14:paraId="180C4959">
      <w:pPr>
        <w:spacing w:line="400" w:lineRule="exact"/>
        <w:ind w:firstLine="420" w:firstLineChars="200"/>
        <w:rPr>
          <w:rFonts w:ascii="Times New Roman" w:hAnsi="Times New Roman"/>
          <w:color w:val="000000"/>
        </w:rPr>
      </w:pPr>
      <w:r>
        <w:rPr>
          <w:rFonts w:hint="eastAsia" w:ascii="Times New Roman" w:hAnsi="Times New Roman"/>
          <w:color w:val="000000"/>
          <w:lang w:val="en-US" w:eastAsia="zh-CN"/>
        </w:rPr>
        <w:t>8</w:t>
      </w:r>
      <w:r>
        <w:rPr>
          <w:rFonts w:ascii="Times New Roman" w:hAnsi="Times New Roman"/>
          <w:color w:val="000000"/>
        </w:rPr>
        <w:t>.5.1 投标人或者其他利害关系人认为招标投标活动不符合法律、行政法规规定的，可以自知道或者应当知道之日起10日内向有关行政监督部门投诉。投诉应当有明确的请求和必要的证明材料。</w:t>
      </w:r>
    </w:p>
    <w:p w14:paraId="459D4F14">
      <w:pPr>
        <w:spacing w:line="400" w:lineRule="exact"/>
        <w:ind w:firstLine="420" w:firstLineChars="200"/>
        <w:rPr>
          <w:rFonts w:ascii="Times New Roman" w:hAnsi="Times New Roman"/>
          <w:color w:val="000000"/>
        </w:rPr>
      </w:pPr>
      <w:r>
        <w:rPr>
          <w:rFonts w:hint="eastAsia" w:ascii="Times New Roman" w:hAnsi="Times New Roman"/>
          <w:color w:val="000000"/>
          <w:lang w:val="en-US" w:eastAsia="zh-CN"/>
        </w:rPr>
        <w:t>8</w:t>
      </w:r>
      <w:r>
        <w:rPr>
          <w:rFonts w:ascii="Times New Roman" w:hAnsi="Times New Roman"/>
          <w:color w:val="000000"/>
        </w:rPr>
        <w:t>.5.2 投标人或者其他利害关系人对招标文件、开标和评标结果提出投诉的，应当按照投标人须知第2.4款、第5.3款和</w:t>
      </w:r>
      <w:r>
        <w:rPr>
          <w:rFonts w:ascii="Times New Roman" w:hAnsi="Times New Roman"/>
          <w:color w:val="000000"/>
          <w:highlight w:val="none"/>
        </w:rPr>
        <w:t>第</w:t>
      </w:r>
      <w:r>
        <w:rPr>
          <w:rFonts w:hint="eastAsia" w:ascii="Times New Roman" w:hAnsi="Times New Roman"/>
          <w:color w:val="000000"/>
          <w:highlight w:val="none"/>
          <w:lang w:val="en-US" w:eastAsia="zh-CN"/>
        </w:rPr>
        <w:t>7</w:t>
      </w:r>
      <w:r>
        <w:rPr>
          <w:rFonts w:ascii="Times New Roman" w:hAnsi="Times New Roman"/>
          <w:color w:val="000000"/>
          <w:highlight w:val="none"/>
        </w:rPr>
        <w:t>.2款的规定先</w:t>
      </w:r>
      <w:r>
        <w:rPr>
          <w:rFonts w:ascii="Times New Roman" w:hAnsi="Times New Roman"/>
          <w:color w:val="000000"/>
        </w:rPr>
        <w:t>向招标人提出异议。异议答复期间</w:t>
      </w:r>
      <w:bookmarkStart w:id="277" w:name="_Toc369531561"/>
      <w:bookmarkStart w:id="278" w:name="_Toc247527595"/>
      <w:bookmarkStart w:id="279" w:name="_Toc247513994"/>
      <w:bookmarkStart w:id="280" w:name="_Toc144974538"/>
      <w:bookmarkStart w:id="281" w:name="_Toc152042346"/>
      <w:bookmarkStart w:id="282" w:name="_Toc361508630"/>
      <w:bookmarkStart w:id="283" w:name="_Toc152045570"/>
      <w:bookmarkStart w:id="284" w:name="_Toc384308255"/>
      <w:bookmarkStart w:id="285" w:name="_Toc12776"/>
      <w:bookmarkStart w:id="286" w:name="_Toc352691517"/>
      <w:bookmarkStart w:id="287" w:name="_Toc300834993"/>
      <w:r>
        <w:rPr>
          <w:rFonts w:ascii="Times New Roman" w:hAnsi="Times New Roman"/>
          <w:color w:val="000000"/>
        </w:rPr>
        <w:t>不计算在第</w:t>
      </w:r>
      <w:r>
        <w:rPr>
          <w:rFonts w:hint="eastAsia" w:ascii="Times New Roman" w:hAnsi="Times New Roman"/>
          <w:color w:val="000000"/>
          <w:lang w:val="en-US" w:eastAsia="zh-CN"/>
        </w:rPr>
        <w:t>8</w:t>
      </w:r>
      <w:r>
        <w:rPr>
          <w:rFonts w:ascii="Times New Roman" w:hAnsi="Times New Roman"/>
          <w:color w:val="000000"/>
        </w:rPr>
        <w:t>.5.</w:t>
      </w:r>
      <w:bookmarkEnd w:id="277"/>
      <w:bookmarkEnd w:id="278"/>
      <w:bookmarkEnd w:id="279"/>
      <w:bookmarkEnd w:id="280"/>
      <w:bookmarkEnd w:id="281"/>
      <w:bookmarkEnd w:id="282"/>
      <w:bookmarkEnd w:id="283"/>
      <w:bookmarkEnd w:id="284"/>
      <w:bookmarkEnd w:id="285"/>
      <w:bookmarkEnd w:id="286"/>
      <w:bookmarkEnd w:id="287"/>
      <w:r>
        <w:rPr>
          <w:rFonts w:ascii="Times New Roman" w:hAnsi="Times New Roman"/>
          <w:color w:val="000000"/>
        </w:rPr>
        <w:t>1项规定的期限内。</w:t>
      </w:r>
    </w:p>
    <w:p w14:paraId="5474C727">
      <w:pPr>
        <w:pStyle w:val="3"/>
        <w:spacing w:line="240" w:lineRule="auto"/>
        <w:rPr>
          <w:rFonts w:ascii="Times New Roman" w:hAnsi="Times New Roman"/>
        </w:rPr>
      </w:pPr>
      <w:bookmarkStart w:id="288" w:name="_Toc477134992"/>
      <w:bookmarkStart w:id="289" w:name="_Toc10996"/>
      <w:r>
        <w:rPr>
          <w:rFonts w:hint="eastAsia" w:ascii="Times New Roman" w:hAnsi="Times New Roman"/>
          <w:lang w:val="en-US" w:eastAsia="zh-CN"/>
        </w:rPr>
        <w:t>9</w:t>
      </w:r>
      <w:r>
        <w:rPr>
          <w:rFonts w:ascii="Times New Roman" w:hAnsi="Times New Roman"/>
        </w:rPr>
        <w:t>. 是否采用电子招标投标</w:t>
      </w:r>
      <w:bookmarkEnd w:id="288"/>
      <w:bookmarkEnd w:id="289"/>
    </w:p>
    <w:p w14:paraId="7DCDFE51">
      <w:pPr>
        <w:spacing w:line="400" w:lineRule="exact"/>
        <w:ind w:firstLine="420" w:firstLineChars="200"/>
        <w:rPr>
          <w:rFonts w:ascii="Times New Roman" w:hAnsi="Times New Roman"/>
          <w:color w:val="000000"/>
        </w:rPr>
      </w:pPr>
      <w:r>
        <w:rPr>
          <w:rFonts w:ascii="Times New Roman" w:hAnsi="Times New Roman"/>
          <w:color w:val="000000"/>
        </w:rPr>
        <w:t>本招标项目是否采用电子招标投标方式，</w:t>
      </w:r>
      <w:r>
        <w:rPr>
          <w:rFonts w:ascii="Times New Roman" w:hAnsi="Times New Roman"/>
        </w:rPr>
        <w:t>见投标人须知前附表。</w:t>
      </w:r>
    </w:p>
    <w:p w14:paraId="7CF1B30E">
      <w:pPr>
        <w:pStyle w:val="3"/>
        <w:spacing w:line="240" w:lineRule="auto"/>
        <w:rPr>
          <w:rFonts w:ascii="Times New Roman" w:hAnsi="Times New Roman"/>
        </w:rPr>
      </w:pPr>
      <w:bookmarkStart w:id="290" w:name="_Toc18836"/>
      <w:r>
        <w:rPr>
          <w:rFonts w:ascii="Times New Roman" w:hAnsi="Times New Roman"/>
        </w:rPr>
        <w:t>1</w:t>
      </w:r>
      <w:r>
        <w:rPr>
          <w:rFonts w:hint="eastAsia" w:ascii="Times New Roman" w:hAnsi="Times New Roman"/>
          <w:lang w:val="en-US" w:eastAsia="zh-CN"/>
        </w:rPr>
        <w:t>0</w:t>
      </w:r>
      <w:r>
        <w:rPr>
          <w:rFonts w:ascii="Times New Roman" w:hAnsi="Times New Roman"/>
        </w:rPr>
        <w:t>. 需要补充的其他内容</w:t>
      </w:r>
      <w:bookmarkEnd w:id="290"/>
    </w:p>
    <w:p w14:paraId="5DA2310B">
      <w:pPr>
        <w:spacing w:line="400" w:lineRule="exact"/>
        <w:ind w:firstLine="420" w:firstLineChars="200"/>
        <w:rPr>
          <w:rFonts w:ascii="Times New Roman" w:hAnsi="Times New Roman"/>
          <w:color w:val="000000"/>
        </w:rPr>
      </w:pPr>
      <w:r>
        <w:rPr>
          <w:rFonts w:ascii="Times New Roman" w:hAnsi="Times New Roman"/>
          <w:color w:val="000000"/>
        </w:rPr>
        <w:t>需要补充的其他内容：见投标人须知前附表。</w:t>
      </w:r>
    </w:p>
    <w:p w14:paraId="2D42DF7E">
      <w:pPr>
        <w:spacing w:line="400" w:lineRule="exact"/>
        <w:ind w:firstLine="420" w:firstLineChars="200"/>
        <w:rPr>
          <w:rFonts w:ascii="Times New Roman" w:hAnsi="Times New Roman"/>
          <w:color w:val="000000"/>
        </w:rPr>
      </w:pPr>
      <w:r>
        <w:rPr>
          <w:rFonts w:ascii="Times New Roman" w:hAnsi="Times New Roman"/>
          <w:color w:val="000000"/>
        </w:rPr>
        <w:br w:type="page"/>
      </w:r>
    </w:p>
    <w:p w14:paraId="451A7E2D">
      <w:pPr>
        <w:pStyle w:val="2"/>
        <w:jc w:val="center"/>
        <w:rPr>
          <w:color w:val="000000"/>
        </w:rPr>
      </w:pPr>
      <w:bookmarkStart w:id="291" w:name="_Toc24250"/>
      <w:r>
        <w:rPr>
          <w:color w:val="000000"/>
        </w:rPr>
        <w:t>第三章评标办法</w:t>
      </w:r>
      <w:r>
        <w:t>（</w:t>
      </w:r>
      <w:r>
        <w:rPr>
          <w:rFonts w:hint="eastAsia"/>
          <w:lang w:val="en-US" w:eastAsia="zh-CN"/>
        </w:rPr>
        <w:t>材料采购</w:t>
      </w:r>
      <w:r>
        <w:t>综合评估法）</w:t>
      </w:r>
      <w:bookmarkEnd w:id="291"/>
    </w:p>
    <w:p w14:paraId="61D16E2D">
      <w:pPr>
        <w:pStyle w:val="3"/>
        <w:rPr>
          <w:rFonts w:ascii="Times New Roman" w:hAnsi="Times New Roman"/>
          <w:color w:val="000000"/>
        </w:rPr>
      </w:pPr>
      <w:bookmarkStart w:id="292" w:name="_Toc18280"/>
      <w:r>
        <w:rPr>
          <w:rFonts w:ascii="Times New Roman" w:hAnsi="Times New Roman"/>
          <w:color w:val="000000"/>
        </w:rPr>
        <w:t>评标办法前附表</w:t>
      </w:r>
      <w:bookmarkEnd w:id="292"/>
    </w:p>
    <w:tbl>
      <w:tblPr>
        <w:tblStyle w:val="25"/>
        <w:tblW w:w="9180"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0"/>
        <w:gridCol w:w="1124"/>
        <w:gridCol w:w="2476"/>
        <w:gridCol w:w="4680"/>
      </w:tblGrid>
      <w:tr w14:paraId="0DCCED7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024" w:type="dxa"/>
            <w:gridSpan w:val="2"/>
            <w:tcBorders>
              <w:top w:val="single" w:color="auto" w:sz="4" w:space="0"/>
              <w:bottom w:val="single" w:color="auto" w:sz="4" w:space="0"/>
              <w:right w:val="single" w:color="auto" w:sz="4" w:space="0"/>
            </w:tcBorders>
            <w:vAlign w:val="center"/>
          </w:tcPr>
          <w:p w14:paraId="384F75DF">
            <w:pPr>
              <w:spacing w:line="440" w:lineRule="exact"/>
              <w:jc w:val="center"/>
              <w:rPr>
                <w:rFonts w:ascii="Times New Roman" w:hAnsi="Times New Roman"/>
                <w:b/>
                <w:color w:val="000000"/>
              </w:rPr>
            </w:pPr>
            <w:r>
              <w:rPr>
                <w:rFonts w:ascii="Times New Roman" w:hAnsi="Times New Roman"/>
                <w:b/>
                <w:color w:val="000000"/>
              </w:rPr>
              <w:t>条款号</w:t>
            </w:r>
          </w:p>
        </w:tc>
        <w:tc>
          <w:tcPr>
            <w:tcW w:w="2476" w:type="dxa"/>
            <w:tcBorders>
              <w:top w:val="single" w:color="auto" w:sz="4" w:space="0"/>
              <w:left w:val="single" w:color="auto" w:sz="4" w:space="0"/>
              <w:bottom w:val="single" w:color="auto" w:sz="4" w:space="0"/>
              <w:right w:val="single" w:color="auto" w:sz="4" w:space="0"/>
            </w:tcBorders>
            <w:vAlign w:val="center"/>
          </w:tcPr>
          <w:p w14:paraId="6E617829">
            <w:pPr>
              <w:spacing w:line="440" w:lineRule="exact"/>
              <w:jc w:val="center"/>
              <w:rPr>
                <w:rFonts w:ascii="Times New Roman" w:hAnsi="Times New Roman"/>
                <w:b/>
                <w:color w:val="000000"/>
              </w:rPr>
            </w:pPr>
            <w:r>
              <w:rPr>
                <w:rFonts w:ascii="Times New Roman" w:hAnsi="Times New Roman"/>
                <w:b/>
                <w:color w:val="000000"/>
              </w:rPr>
              <w:t>评审因素</w:t>
            </w:r>
          </w:p>
        </w:tc>
        <w:tc>
          <w:tcPr>
            <w:tcW w:w="4680" w:type="dxa"/>
            <w:tcBorders>
              <w:top w:val="single" w:color="auto" w:sz="4" w:space="0"/>
              <w:left w:val="single" w:color="auto" w:sz="4" w:space="0"/>
              <w:bottom w:val="single" w:color="auto" w:sz="4" w:space="0"/>
              <w:right w:val="single" w:color="auto" w:sz="4" w:space="0"/>
            </w:tcBorders>
            <w:vAlign w:val="center"/>
          </w:tcPr>
          <w:p w14:paraId="074F3E5C">
            <w:pPr>
              <w:spacing w:line="440" w:lineRule="exact"/>
              <w:jc w:val="center"/>
              <w:rPr>
                <w:rFonts w:ascii="Times New Roman" w:hAnsi="Times New Roman"/>
                <w:b/>
                <w:color w:val="000000"/>
              </w:rPr>
            </w:pPr>
            <w:r>
              <w:rPr>
                <w:rFonts w:ascii="Times New Roman" w:hAnsi="Times New Roman"/>
                <w:b/>
                <w:color w:val="000000"/>
              </w:rPr>
              <w:t>评审标准</w:t>
            </w:r>
          </w:p>
        </w:tc>
      </w:tr>
      <w:tr w14:paraId="1EE2E68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6" w:hRule="atLeast"/>
        </w:trPr>
        <w:tc>
          <w:tcPr>
            <w:tcW w:w="900" w:type="dxa"/>
            <w:tcBorders>
              <w:top w:val="single" w:color="auto" w:sz="4" w:space="0"/>
              <w:left w:val="single" w:color="auto" w:sz="4" w:space="0"/>
              <w:bottom w:val="single" w:color="auto" w:sz="4" w:space="0"/>
              <w:right w:val="single" w:color="auto" w:sz="4" w:space="0"/>
            </w:tcBorders>
            <w:vAlign w:val="center"/>
          </w:tcPr>
          <w:p w14:paraId="1FD313E0">
            <w:pPr>
              <w:spacing w:line="440" w:lineRule="exact"/>
              <w:jc w:val="center"/>
              <w:rPr>
                <w:rFonts w:ascii="Times New Roman" w:hAnsi="Times New Roman"/>
                <w:color w:val="000000"/>
              </w:rPr>
            </w:pPr>
            <w:r>
              <w:rPr>
                <w:rFonts w:ascii="Times New Roman" w:hAnsi="Times New Roman"/>
                <w:color w:val="000000"/>
              </w:rPr>
              <w:t>1</w:t>
            </w:r>
          </w:p>
        </w:tc>
        <w:tc>
          <w:tcPr>
            <w:tcW w:w="1124" w:type="dxa"/>
            <w:tcBorders>
              <w:top w:val="single" w:color="auto" w:sz="4" w:space="0"/>
              <w:left w:val="single" w:color="auto" w:sz="4" w:space="0"/>
              <w:bottom w:val="single" w:color="auto" w:sz="4" w:space="0"/>
              <w:right w:val="single" w:color="auto" w:sz="4" w:space="0"/>
            </w:tcBorders>
            <w:vAlign w:val="center"/>
          </w:tcPr>
          <w:p w14:paraId="05010275">
            <w:pPr>
              <w:spacing w:line="440" w:lineRule="exact"/>
              <w:jc w:val="center"/>
              <w:rPr>
                <w:rFonts w:ascii="Times New Roman" w:hAnsi="Times New Roman"/>
                <w:color w:val="000000"/>
              </w:rPr>
            </w:pPr>
            <w:r>
              <w:rPr>
                <w:rFonts w:ascii="Times New Roman" w:hAnsi="Times New Roman"/>
                <w:color w:val="000000"/>
              </w:rPr>
              <w:t>评标方法</w:t>
            </w:r>
          </w:p>
        </w:tc>
        <w:tc>
          <w:tcPr>
            <w:tcW w:w="2476" w:type="dxa"/>
            <w:tcBorders>
              <w:top w:val="single" w:color="auto" w:sz="4" w:space="0"/>
              <w:left w:val="single" w:color="auto" w:sz="4" w:space="0"/>
              <w:bottom w:val="single" w:color="auto" w:sz="4" w:space="0"/>
              <w:right w:val="single" w:color="auto" w:sz="4" w:space="0"/>
            </w:tcBorders>
            <w:vAlign w:val="center"/>
          </w:tcPr>
          <w:p w14:paraId="011BC86E">
            <w:pPr>
              <w:spacing w:line="440" w:lineRule="exact"/>
              <w:jc w:val="left"/>
              <w:rPr>
                <w:rFonts w:hint="default" w:ascii="Times New Roman" w:hAnsi="Times New Roman" w:eastAsia="宋体"/>
                <w:color w:val="000000"/>
                <w:lang w:val="en-US" w:eastAsia="zh-CN"/>
              </w:rPr>
            </w:pPr>
            <w:r>
              <w:rPr>
                <w:rFonts w:hint="eastAsia" w:ascii="Times New Roman" w:hAnsi="Times New Roman"/>
                <w:color w:val="000000"/>
                <w:lang w:val="en-US" w:eastAsia="zh-CN"/>
              </w:rPr>
              <w:t>材料采购综合评估法</w:t>
            </w:r>
          </w:p>
        </w:tc>
        <w:tc>
          <w:tcPr>
            <w:tcW w:w="4680" w:type="dxa"/>
            <w:tcBorders>
              <w:top w:val="single" w:color="auto" w:sz="4" w:space="0"/>
              <w:left w:val="single" w:color="auto" w:sz="4" w:space="0"/>
              <w:bottom w:val="single" w:color="auto" w:sz="4" w:space="0"/>
              <w:right w:val="single" w:color="auto" w:sz="4" w:space="0"/>
            </w:tcBorders>
          </w:tcPr>
          <w:p w14:paraId="6C887AFE">
            <w:pPr>
              <w:spacing w:line="440" w:lineRule="exact"/>
              <w:jc w:val="center"/>
              <w:rPr>
                <w:rFonts w:ascii="Times New Roman" w:hAnsi="Times New Roman"/>
                <w:color w:val="000000"/>
              </w:rPr>
            </w:pPr>
          </w:p>
        </w:tc>
      </w:tr>
      <w:tr w14:paraId="4F6334D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restart"/>
            <w:tcBorders>
              <w:top w:val="single" w:color="auto" w:sz="4" w:space="0"/>
              <w:bottom w:val="single" w:color="auto" w:sz="4" w:space="0"/>
              <w:right w:val="single" w:color="auto" w:sz="4" w:space="0"/>
            </w:tcBorders>
            <w:vAlign w:val="center"/>
          </w:tcPr>
          <w:p w14:paraId="702A7997">
            <w:pPr>
              <w:spacing w:line="440" w:lineRule="exact"/>
              <w:jc w:val="center"/>
              <w:rPr>
                <w:rFonts w:ascii="Times New Roman" w:hAnsi="Times New Roman"/>
                <w:color w:val="000000"/>
              </w:rPr>
            </w:pPr>
            <w:r>
              <w:rPr>
                <w:rFonts w:ascii="Times New Roman" w:hAnsi="Times New Roman"/>
                <w:color w:val="000000"/>
              </w:rPr>
              <w:t>2.1.1</w:t>
            </w:r>
          </w:p>
        </w:tc>
        <w:tc>
          <w:tcPr>
            <w:tcW w:w="1124" w:type="dxa"/>
            <w:vMerge w:val="restart"/>
            <w:tcBorders>
              <w:top w:val="single" w:color="auto" w:sz="4" w:space="0"/>
              <w:right w:val="single" w:color="auto" w:sz="4" w:space="0"/>
            </w:tcBorders>
            <w:vAlign w:val="center"/>
          </w:tcPr>
          <w:p w14:paraId="5EE7D1D0">
            <w:pPr>
              <w:spacing w:line="440" w:lineRule="exact"/>
              <w:jc w:val="center"/>
              <w:rPr>
                <w:rFonts w:ascii="Times New Roman" w:hAnsi="Times New Roman"/>
                <w:color w:val="000000"/>
              </w:rPr>
            </w:pPr>
            <w:r>
              <w:rPr>
                <w:rFonts w:ascii="Times New Roman" w:hAnsi="Times New Roman"/>
                <w:color w:val="000000"/>
              </w:rPr>
              <w:t>形式评审标准</w:t>
            </w:r>
          </w:p>
        </w:tc>
        <w:tc>
          <w:tcPr>
            <w:tcW w:w="2476" w:type="dxa"/>
            <w:tcBorders>
              <w:top w:val="single" w:color="auto" w:sz="4" w:space="0"/>
              <w:left w:val="single" w:color="auto" w:sz="4" w:space="0"/>
              <w:bottom w:val="single" w:color="auto" w:sz="4" w:space="0"/>
              <w:right w:val="single" w:color="auto" w:sz="4" w:space="0"/>
            </w:tcBorders>
            <w:vAlign w:val="center"/>
          </w:tcPr>
          <w:p w14:paraId="1C71BBCE">
            <w:pPr>
              <w:spacing w:line="440" w:lineRule="exact"/>
              <w:jc w:val="left"/>
              <w:rPr>
                <w:rFonts w:ascii="Times New Roman" w:hAnsi="Times New Roman"/>
                <w:color w:val="000000"/>
              </w:rPr>
            </w:pPr>
            <w:r>
              <w:rPr>
                <w:rFonts w:ascii="Times New Roman" w:hAnsi="Times New Roman"/>
                <w:color w:val="000000"/>
              </w:rPr>
              <w:t>投标人名称</w:t>
            </w:r>
          </w:p>
        </w:tc>
        <w:tc>
          <w:tcPr>
            <w:tcW w:w="4680" w:type="dxa"/>
            <w:tcBorders>
              <w:top w:val="single" w:color="auto" w:sz="4" w:space="0"/>
              <w:left w:val="single" w:color="auto" w:sz="4" w:space="0"/>
              <w:bottom w:val="single" w:color="auto" w:sz="4" w:space="0"/>
              <w:right w:val="single" w:color="auto" w:sz="4" w:space="0"/>
            </w:tcBorders>
            <w:vAlign w:val="center"/>
          </w:tcPr>
          <w:p w14:paraId="4DE9C940">
            <w:pPr>
              <w:spacing w:line="440" w:lineRule="exact"/>
              <w:rPr>
                <w:rFonts w:ascii="Times New Roman" w:hAnsi="Times New Roman"/>
                <w:color w:val="000000"/>
              </w:rPr>
            </w:pPr>
            <w:r>
              <w:rPr>
                <w:rFonts w:ascii="Times New Roman" w:hAnsi="Times New Roman"/>
                <w:color w:val="000000"/>
              </w:rPr>
              <w:t>与营业执照、资质证书一致</w:t>
            </w:r>
          </w:p>
        </w:tc>
      </w:tr>
      <w:tr w14:paraId="29A7288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nil"/>
              <w:bottom w:val="single" w:color="auto" w:sz="4" w:space="0"/>
              <w:right w:val="single" w:color="auto" w:sz="4" w:space="0"/>
            </w:tcBorders>
            <w:vAlign w:val="center"/>
          </w:tcPr>
          <w:p w14:paraId="44B7F405">
            <w:pPr>
              <w:rPr>
                <w:rFonts w:ascii="Times New Roman" w:hAnsi="Times New Roman"/>
              </w:rPr>
            </w:pPr>
          </w:p>
        </w:tc>
        <w:tc>
          <w:tcPr>
            <w:tcW w:w="1124" w:type="dxa"/>
            <w:vMerge w:val="continue"/>
            <w:tcBorders>
              <w:right w:val="single" w:color="auto" w:sz="4" w:space="0"/>
            </w:tcBorders>
            <w:vAlign w:val="center"/>
          </w:tcPr>
          <w:p w14:paraId="5ACA01EC">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vAlign w:val="center"/>
          </w:tcPr>
          <w:p w14:paraId="78E90E9E">
            <w:pPr>
              <w:spacing w:line="440" w:lineRule="exact"/>
              <w:jc w:val="left"/>
              <w:rPr>
                <w:rFonts w:ascii="Times New Roman" w:hAnsi="Times New Roman"/>
                <w:color w:val="000000"/>
              </w:rPr>
            </w:pPr>
            <w:r>
              <w:rPr>
                <w:rFonts w:ascii="Times New Roman" w:hAnsi="Times New Roman"/>
                <w:color w:val="000000"/>
              </w:rPr>
              <w:t>投标函签字盖章</w:t>
            </w:r>
          </w:p>
        </w:tc>
        <w:tc>
          <w:tcPr>
            <w:tcW w:w="4680" w:type="dxa"/>
            <w:tcBorders>
              <w:top w:val="single" w:color="auto" w:sz="4" w:space="0"/>
              <w:left w:val="single" w:color="auto" w:sz="4" w:space="0"/>
              <w:bottom w:val="single" w:color="auto" w:sz="4" w:space="0"/>
              <w:right w:val="single" w:color="auto" w:sz="4" w:space="0"/>
            </w:tcBorders>
            <w:vAlign w:val="center"/>
          </w:tcPr>
          <w:p w14:paraId="1D3EDAD7">
            <w:pPr>
              <w:spacing w:line="440" w:lineRule="exact"/>
              <w:rPr>
                <w:rFonts w:ascii="Times New Roman" w:hAnsi="Times New Roman"/>
                <w:color w:val="000000"/>
              </w:rPr>
            </w:pPr>
            <w:r>
              <w:rPr>
                <w:rFonts w:hint="eastAsia" w:ascii="宋体" w:hAnsi="宋体"/>
                <w:szCs w:val="21"/>
              </w:rPr>
              <w:t>有法定代表人或其委托代理人签字或加盖单位章</w:t>
            </w:r>
          </w:p>
        </w:tc>
      </w:tr>
      <w:tr w14:paraId="75D1680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nil"/>
              <w:bottom w:val="single" w:color="auto" w:sz="4" w:space="0"/>
              <w:right w:val="single" w:color="auto" w:sz="4" w:space="0"/>
            </w:tcBorders>
            <w:vAlign w:val="center"/>
          </w:tcPr>
          <w:p w14:paraId="4E74E553">
            <w:pPr>
              <w:rPr>
                <w:rFonts w:ascii="Times New Roman" w:hAnsi="Times New Roman"/>
              </w:rPr>
            </w:pPr>
          </w:p>
        </w:tc>
        <w:tc>
          <w:tcPr>
            <w:tcW w:w="1124" w:type="dxa"/>
            <w:vMerge w:val="continue"/>
            <w:tcBorders>
              <w:right w:val="single" w:color="auto" w:sz="4" w:space="0"/>
            </w:tcBorders>
            <w:vAlign w:val="center"/>
          </w:tcPr>
          <w:p w14:paraId="3BD5FA79">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vAlign w:val="center"/>
          </w:tcPr>
          <w:p w14:paraId="3AFD42CB">
            <w:pPr>
              <w:spacing w:line="440" w:lineRule="exact"/>
              <w:jc w:val="left"/>
              <w:rPr>
                <w:rFonts w:ascii="Times New Roman" w:hAnsi="Times New Roman"/>
                <w:color w:val="000000"/>
              </w:rPr>
            </w:pPr>
            <w:r>
              <w:rPr>
                <w:rFonts w:ascii="Times New Roman" w:hAnsi="Times New Roman"/>
                <w:color w:val="000000"/>
              </w:rPr>
              <w:t>投标文件格式</w:t>
            </w:r>
          </w:p>
        </w:tc>
        <w:tc>
          <w:tcPr>
            <w:tcW w:w="4680" w:type="dxa"/>
            <w:tcBorders>
              <w:top w:val="single" w:color="auto" w:sz="4" w:space="0"/>
              <w:left w:val="single" w:color="auto" w:sz="4" w:space="0"/>
              <w:bottom w:val="single" w:color="auto" w:sz="4" w:space="0"/>
              <w:right w:val="single" w:color="auto" w:sz="4" w:space="0"/>
            </w:tcBorders>
            <w:vAlign w:val="center"/>
          </w:tcPr>
          <w:p w14:paraId="4F3FF647">
            <w:pPr>
              <w:spacing w:line="440" w:lineRule="exact"/>
              <w:rPr>
                <w:rFonts w:ascii="Times New Roman" w:hAnsi="Times New Roman"/>
                <w:color w:val="000000"/>
              </w:rPr>
            </w:pPr>
            <w:r>
              <w:rPr>
                <w:rFonts w:ascii="Times New Roman" w:hAnsi="Times New Roman"/>
                <w:color w:val="000000"/>
              </w:rPr>
              <w:t>符合第</w:t>
            </w:r>
            <w:r>
              <w:rPr>
                <w:rFonts w:hint="eastAsia" w:ascii="Times New Roman" w:hAnsi="Times New Roman"/>
                <w:color w:val="000000"/>
                <w:lang w:val="en-US" w:eastAsia="zh-CN"/>
              </w:rPr>
              <w:t>七</w:t>
            </w:r>
            <w:r>
              <w:rPr>
                <w:rFonts w:ascii="Times New Roman" w:hAnsi="Times New Roman"/>
                <w:color w:val="000000"/>
              </w:rPr>
              <w:t>章“投标文件格式”的规定</w:t>
            </w:r>
          </w:p>
        </w:tc>
      </w:tr>
      <w:tr w14:paraId="7EC29C8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nil"/>
              <w:bottom w:val="single" w:color="auto" w:sz="4" w:space="0"/>
              <w:right w:val="single" w:color="auto" w:sz="4" w:space="0"/>
            </w:tcBorders>
            <w:vAlign w:val="center"/>
          </w:tcPr>
          <w:p w14:paraId="2853F35F">
            <w:pPr>
              <w:rPr>
                <w:rFonts w:ascii="Times New Roman" w:hAnsi="Times New Roman"/>
              </w:rPr>
            </w:pPr>
          </w:p>
        </w:tc>
        <w:tc>
          <w:tcPr>
            <w:tcW w:w="1124" w:type="dxa"/>
            <w:vMerge w:val="continue"/>
            <w:tcBorders>
              <w:right w:val="single" w:color="auto" w:sz="4" w:space="0"/>
            </w:tcBorders>
            <w:vAlign w:val="center"/>
          </w:tcPr>
          <w:p w14:paraId="5ED3D7CE">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vAlign w:val="center"/>
          </w:tcPr>
          <w:p w14:paraId="10383B50">
            <w:pPr>
              <w:spacing w:line="440" w:lineRule="exact"/>
              <w:jc w:val="left"/>
              <w:rPr>
                <w:rFonts w:ascii="Times New Roman" w:hAnsi="Times New Roman"/>
                <w:color w:val="000000"/>
              </w:rPr>
            </w:pPr>
            <w:r>
              <w:rPr>
                <w:rFonts w:ascii="Times New Roman" w:hAnsi="Times New Roman"/>
                <w:color w:val="000000"/>
              </w:rPr>
              <w:t>联合体投标人</w:t>
            </w:r>
          </w:p>
        </w:tc>
        <w:tc>
          <w:tcPr>
            <w:tcW w:w="4680" w:type="dxa"/>
            <w:tcBorders>
              <w:top w:val="single" w:color="auto" w:sz="4" w:space="0"/>
              <w:left w:val="single" w:color="auto" w:sz="4" w:space="0"/>
              <w:bottom w:val="single" w:color="auto" w:sz="4" w:space="0"/>
              <w:right w:val="single" w:color="auto" w:sz="4" w:space="0"/>
            </w:tcBorders>
            <w:vAlign w:val="center"/>
          </w:tcPr>
          <w:p w14:paraId="1AB953A7">
            <w:pPr>
              <w:spacing w:line="440" w:lineRule="exact"/>
              <w:rPr>
                <w:rFonts w:ascii="Times New Roman" w:hAnsi="Times New Roman"/>
                <w:color w:val="000000"/>
              </w:rPr>
            </w:pPr>
            <w:r>
              <w:rPr>
                <w:rFonts w:ascii="Times New Roman" w:hAnsi="Times New Roman"/>
                <w:color w:val="000000"/>
              </w:rPr>
              <w:t>提交符合招标文件要求的联合体协议书，明确各方承担连带责任，并明确联合体牵头人</w:t>
            </w:r>
          </w:p>
        </w:tc>
      </w:tr>
      <w:tr w14:paraId="760CBD3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nil"/>
              <w:bottom w:val="single" w:color="auto" w:sz="4" w:space="0"/>
              <w:right w:val="single" w:color="auto" w:sz="4" w:space="0"/>
            </w:tcBorders>
            <w:vAlign w:val="center"/>
          </w:tcPr>
          <w:p w14:paraId="7FFF917D">
            <w:pPr>
              <w:rPr>
                <w:rFonts w:ascii="Times New Roman" w:hAnsi="Times New Roman"/>
              </w:rPr>
            </w:pPr>
          </w:p>
        </w:tc>
        <w:tc>
          <w:tcPr>
            <w:tcW w:w="1124" w:type="dxa"/>
            <w:vMerge w:val="continue"/>
            <w:tcBorders>
              <w:right w:val="single" w:color="auto" w:sz="4" w:space="0"/>
            </w:tcBorders>
            <w:vAlign w:val="center"/>
          </w:tcPr>
          <w:p w14:paraId="0A6EECB3">
            <w:pPr>
              <w:rPr>
                <w:rFonts w:ascii="Times New Roman" w:hAnsi="Times New Roman"/>
                <w:highlight w:val="none"/>
              </w:rPr>
            </w:pPr>
          </w:p>
        </w:tc>
        <w:tc>
          <w:tcPr>
            <w:tcW w:w="2476" w:type="dxa"/>
            <w:tcBorders>
              <w:top w:val="single" w:color="auto" w:sz="4" w:space="0"/>
              <w:left w:val="single" w:color="auto" w:sz="4" w:space="0"/>
              <w:bottom w:val="single" w:color="auto" w:sz="4" w:space="0"/>
              <w:right w:val="single" w:color="auto" w:sz="4" w:space="0"/>
            </w:tcBorders>
            <w:vAlign w:val="center"/>
          </w:tcPr>
          <w:p w14:paraId="4B57133A">
            <w:pPr>
              <w:spacing w:line="440" w:lineRule="exact"/>
              <w:jc w:val="left"/>
              <w:rPr>
                <w:rFonts w:hint="eastAsia" w:ascii="Times New Roman" w:hAnsi="Times New Roman" w:eastAsia="宋体" w:cs="Times New Roman"/>
                <w:color w:val="auto"/>
                <w:kern w:val="2"/>
                <w:sz w:val="21"/>
                <w:szCs w:val="22"/>
                <w:highlight w:val="none"/>
                <w:lang w:val="en-US" w:eastAsia="zh-CN" w:bidi="ar-SA"/>
              </w:rPr>
            </w:pPr>
            <w:r>
              <w:rPr>
                <w:rFonts w:ascii="Times New Roman" w:hAnsi="Times New Roman"/>
                <w:color w:val="auto"/>
                <w:highlight w:val="none"/>
              </w:rPr>
              <w:t>备选投标方案</w:t>
            </w:r>
          </w:p>
        </w:tc>
        <w:tc>
          <w:tcPr>
            <w:tcW w:w="4680" w:type="dxa"/>
            <w:tcBorders>
              <w:top w:val="single" w:color="auto" w:sz="4" w:space="0"/>
              <w:left w:val="single" w:color="auto" w:sz="4" w:space="0"/>
              <w:bottom w:val="single" w:color="auto" w:sz="4" w:space="0"/>
              <w:right w:val="single" w:color="auto" w:sz="4" w:space="0"/>
            </w:tcBorders>
            <w:vAlign w:val="center"/>
          </w:tcPr>
          <w:p w14:paraId="34F7F359">
            <w:pPr>
              <w:spacing w:line="440" w:lineRule="exact"/>
              <w:rPr>
                <w:rFonts w:hint="eastAsia" w:ascii="Times New Roman" w:hAnsi="Times New Roman" w:eastAsia="宋体" w:cs="Times New Roman"/>
                <w:color w:val="auto"/>
                <w:kern w:val="2"/>
                <w:sz w:val="21"/>
                <w:szCs w:val="22"/>
                <w:highlight w:val="none"/>
                <w:lang w:val="en-US" w:eastAsia="zh-CN" w:bidi="ar-SA"/>
              </w:rPr>
            </w:pPr>
            <w:r>
              <w:rPr>
                <w:rFonts w:ascii="Times New Roman" w:hAnsi="Times New Roman"/>
                <w:color w:val="auto"/>
                <w:highlight w:val="none"/>
              </w:rPr>
              <w:t>除招标文件明确允许提交备选投标方案外，投标人不得提交备选投标方案</w:t>
            </w:r>
          </w:p>
        </w:tc>
      </w:tr>
      <w:tr w14:paraId="32B738E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restart"/>
            <w:tcBorders>
              <w:top w:val="single" w:color="auto" w:sz="4" w:space="0"/>
              <w:bottom w:val="single" w:color="auto" w:sz="4" w:space="0"/>
              <w:right w:val="single" w:color="auto" w:sz="4" w:space="0"/>
            </w:tcBorders>
            <w:vAlign w:val="center"/>
          </w:tcPr>
          <w:p w14:paraId="300882AE">
            <w:pPr>
              <w:spacing w:line="440" w:lineRule="exact"/>
              <w:jc w:val="center"/>
              <w:rPr>
                <w:rFonts w:ascii="Times New Roman" w:hAnsi="Times New Roman"/>
                <w:color w:val="000000"/>
              </w:rPr>
            </w:pPr>
            <w:r>
              <w:rPr>
                <w:rFonts w:ascii="Times New Roman" w:hAnsi="Times New Roman"/>
                <w:color w:val="000000"/>
              </w:rPr>
              <w:t>2.1.2</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14:paraId="64C01006">
            <w:pPr>
              <w:spacing w:line="440" w:lineRule="exact"/>
              <w:jc w:val="center"/>
              <w:rPr>
                <w:rFonts w:ascii="Times New Roman" w:hAnsi="Times New Roman"/>
                <w:color w:val="000000"/>
              </w:rPr>
            </w:pPr>
            <w:r>
              <w:rPr>
                <w:rFonts w:ascii="Times New Roman" w:hAnsi="Times New Roman"/>
                <w:color w:val="000000"/>
              </w:rPr>
              <w:t>资格评审标准</w:t>
            </w:r>
          </w:p>
        </w:tc>
        <w:tc>
          <w:tcPr>
            <w:tcW w:w="2476" w:type="dxa"/>
            <w:tcBorders>
              <w:top w:val="single" w:color="auto" w:sz="4" w:space="0"/>
              <w:left w:val="single" w:color="auto" w:sz="4" w:space="0"/>
              <w:bottom w:val="single" w:color="auto" w:sz="4" w:space="0"/>
              <w:right w:val="single" w:color="auto" w:sz="4" w:space="0"/>
            </w:tcBorders>
            <w:vAlign w:val="center"/>
          </w:tcPr>
          <w:p w14:paraId="03457C22">
            <w:pPr>
              <w:spacing w:line="440" w:lineRule="exact"/>
              <w:jc w:val="left"/>
              <w:rPr>
                <w:rFonts w:ascii="Times New Roman" w:hAnsi="Times New Roman"/>
                <w:color w:val="000000"/>
              </w:rPr>
            </w:pPr>
            <w:r>
              <w:rPr>
                <w:rFonts w:ascii="Times New Roman" w:hAnsi="Times New Roman"/>
                <w:color w:val="000000"/>
              </w:rPr>
              <w:t>营业执照和组织机构代码证</w:t>
            </w:r>
          </w:p>
        </w:tc>
        <w:tc>
          <w:tcPr>
            <w:tcW w:w="4680" w:type="dxa"/>
            <w:tcBorders>
              <w:top w:val="single" w:color="auto" w:sz="4" w:space="0"/>
              <w:left w:val="single" w:color="auto" w:sz="4" w:space="0"/>
              <w:bottom w:val="single" w:color="auto" w:sz="4" w:space="0"/>
              <w:right w:val="single" w:color="auto" w:sz="4" w:space="0"/>
            </w:tcBorders>
            <w:vAlign w:val="center"/>
          </w:tcPr>
          <w:p w14:paraId="7D2E8682">
            <w:pPr>
              <w:spacing w:line="440" w:lineRule="exact"/>
              <w:rPr>
                <w:rFonts w:ascii="Times New Roman" w:hAnsi="Times New Roman"/>
                <w:color w:val="000000"/>
              </w:rPr>
            </w:pPr>
            <w:r>
              <w:rPr>
                <w:rFonts w:ascii="Times New Roman" w:hAnsi="Times New Roman"/>
                <w:color w:val="000000"/>
              </w:rPr>
              <w:t>符合第二章“投标人须知”第3.5.1项规定，具备有效的营业执照和组织机构代码证</w:t>
            </w:r>
          </w:p>
        </w:tc>
      </w:tr>
      <w:tr w14:paraId="5AEEFA8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vAlign w:val="center"/>
          </w:tcPr>
          <w:p w14:paraId="6923540D">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2365B0F1">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vAlign w:val="center"/>
          </w:tcPr>
          <w:p w14:paraId="32DACAF2">
            <w:pPr>
              <w:spacing w:line="440" w:lineRule="exact"/>
              <w:jc w:val="left"/>
              <w:rPr>
                <w:rFonts w:ascii="Times New Roman" w:hAnsi="Times New Roman"/>
                <w:color w:val="000000"/>
              </w:rPr>
            </w:pPr>
            <w:r>
              <w:rPr>
                <w:rFonts w:ascii="Times New Roman" w:hAnsi="Times New Roman"/>
                <w:color w:val="000000"/>
              </w:rPr>
              <w:t>资质要求</w:t>
            </w:r>
          </w:p>
        </w:tc>
        <w:tc>
          <w:tcPr>
            <w:tcW w:w="4680" w:type="dxa"/>
            <w:tcBorders>
              <w:top w:val="single" w:color="auto" w:sz="4" w:space="0"/>
              <w:left w:val="single" w:color="auto" w:sz="4" w:space="0"/>
              <w:bottom w:val="single" w:color="auto" w:sz="4" w:space="0"/>
              <w:right w:val="single" w:color="auto" w:sz="4" w:space="0"/>
            </w:tcBorders>
            <w:vAlign w:val="center"/>
          </w:tcPr>
          <w:p w14:paraId="5F13C32F">
            <w:pPr>
              <w:spacing w:line="440" w:lineRule="exact"/>
              <w:rPr>
                <w:rFonts w:ascii="Times New Roman" w:hAnsi="Times New Roman"/>
                <w:color w:val="000000"/>
              </w:rPr>
            </w:pPr>
            <w:r>
              <w:rPr>
                <w:rFonts w:ascii="Times New Roman" w:hAnsi="Times New Roman"/>
                <w:color w:val="000000"/>
              </w:rPr>
              <w:t>符合第二章“投标人须知”第1.4.1项规定</w:t>
            </w:r>
          </w:p>
        </w:tc>
      </w:tr>
      <w:tr w14:paraId="49DDEDA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vAlign w:val="center"/>
          </w:tcPr>
          <w:p w14:paraId="6BF6747F">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496E2D92">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vAlign w:val="center"/>
          </w:tcPr>
          <w:p w14:paraId="176B7DB7">
            <w:pPr>
              <w:spacing w:line="440" w:lineRule="exact"/>
              <w:jc w:val="left"/>
              <w:rPr>
                <w:rFonts w:ascii="Times New Roman" w:hAnsi="Times New Roman"/>
                <w:color w:val="000000"/>
              </w:rPr>
            </w:pPr>
            <w:r>
              <w:rPr>
                <w:rFonts w:ascii="Times New Roman" w:hAnsi="Times New Roman"/>
                <w:color w:val="000000"/>
              </w:rPr>
              <w:t>财务要求</w:t>
            </w:r>
          </w:p>
        </w:tc>
        <w:tc>
          <w:tcPr>
            <w:tcW w:w="4680" w:type="dxa"/>
            <w:tcBorders>
              <w:top w:val="single" w:color="auto" w:sz="4" w:space="0"/>
              <w:left w:val="single" w:color="auto" w:sz="4" w:space="0"/>
              <w:bottom w:val="single" w:color="auto" w:sz="4" w:space="0"/>
              <w:right w:val="single" w:color="auto" w:sz="4" w:space="0"/>
            </w:tcBorders>
            <w:vAlign w:val="center"/>
          </w:tcPr>
          <w:p w14:paraId="6CC48B05">
            <w:pPr>
              <w:spacing w:line="440" w:lineRule="exact"/>
              <w:rPr>
                <w:rFonts w:ascii="Times New Roman" w:hAnsi="Times New Roman"/>
                <w:color w:val="000000"/>
              </w:rPr>
            </w:pPr>
            <w:r>
              <w:rPr>
                <w:rFonts w:ascii="Times New Roman" w:hAnsi="Times New Roman"/>
                <w:color w:val="000000"/>
              </w:rPr>
              <w:t>符合第二章“投标人须知”第1.4.1项规定</w:t>
            </w:r>
          </w:p>
        </w:tc>
      </w:tr>
      <w:tr w14:paraId="4D47B69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vAlign w:val="center"/>
          </w:tcPr>
          <w:p w14:paraId="2B04028E">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7FE1A17B">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vAlign w:val="center"/>
          </w:tcPr>
          <w:p w14:paraId="6E1A6544">
            <w:pPr>
              <w:spacing w:line="440" w:lineRule="exact"/>
              <w:jc w:val="left"/>
              <w:rPr>
                <w:rFonts w:ascii="Times New Roman" w:hAnsi="Times New Roman"/>
                <w:color w:val="000000"/>
              </w:rPr>
            </w:pPr>
            <w:r>
              <w:rPr>
                <w:rFonts w:ascii="Times New Roman" w:hAnsi="Times New Roman"/>
                <w:color w:val="000000"/>
              </w:rPr>
              <w:t>业绩要求</w:t>
            </w:r>
          </w:p>
        </w:tc>
        <w:tc>
          <w:tcPr>
            <w:tcW w:w="4680" w:type="dxa"/>
            <w:tcBorders>
              <w:top w:val="single" w:color="auto" w:sz="4" w:space="0"/>
              <w:left w:val="single" w:color="auto" w:sz="4" w:space="0"/>
              <w:bottom w:val="single" w:color="auto" w:sz="4" w:space="0"/>
              <w:right w:val="single" w:color="auto" w:sz="4" w:space="0"/>
            </w:tcBorders>
          </w:tcPr>
          <w:p w14:paraId="5A47265A">
            <w:pPr>
              <w:spacing w:line="440" w:lineRule="exact"/>
              <w:rPr>
                <w:rFonts w:ascii="Times New Roman" w:hAnsi="Times New Roman"/>
                <w:color w:val="000000"/>
              </w:rPr>
            </w:pPr>
            <w:r>
              <w:rPr>
                <w:rFonts w:ascii="Times New Roman" w:hAnsi="Times New Roman"/>
                <w:color w:val="000000"/>
              </w:rPr>
              <w:t>符合第二章“投标人须知”第1.4.1项规定</w:t>
            </w:r>
          </w:p>
        </w:tc>
      </w:tr>
      <w:tr w14:paraId="0C547E0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25" w:hRule="atLeast"/>
        </w:trPr>
        <w:tc>
          <w:tcPr>
            <w:tcW w:w="900" w:type="dxa"/>
            <w:vMerge w:val="continue"/>
            <w:tcBorders>
              <w:top w:val="single" w:color="auto" w:sz="4" w:space="0"/>
              <w:bottom w:val="single" w:color="auto" w:sz="4" w:space="0"/>
              <w:right w:val="single" w:color="auto" w:sz="4" w:space="0"/>
            </w:tcBorders>
            <w:vAlign w:val="center"/>
          </w:tcPr>
          <w:p w14:paraId="1E2D2ADF">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3BD0DCD4">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vAlign w:val="center"/>
          </w:tcPr>
          <w:p w14:paraId="7832EDCC">
            <w:pPr>
              <w:spacing w:line="440" w:lineRule="exact"/>
              <w:jc w:val="left"/>
              <w:rPr>
                <w:rFonts w:ascii="Times New Roman" w:hAnsi="Times New Roman"/>
                <w:color w:val="000000"/>
              </w:rPr>
            </w:pPr>
            <w:r>
              <w:rPr>
                <w:rFonts w:ascii="Times New Roman" w:hAnsi="Times New Roman"/>
                <w:color w:val="000000"/>
              </w:rPr>
              <w:t>信誉要求</w:t>
            </w:r>
          </w:p>
        </w:tc>
        <w:tc>
          <w:tcPr>
            <w:tcW w:w="4680" w:type="dxa"/>
            <w:tcBorders>
              <w:top w:val="single" w:color="auto" w:sz="4" w:space="0"/>
              <w:left w:val="single" w:color="auto" w:sz="4" w:space="0"/>
              <w:bottom w:val="single" w:color="auto" w:sz="4" w:space="0"/>
              <w:right w:val="single" w:color="auto" w:sz="4" w:space="0"/>
            </w:tcBorders>
          </w:tcPr>
          <w:p w14:paraId="217E0E46">
            <w:pPr>
              <w:spacing w:line="440" w:lineRule="exact"/>
              <w:rPr>
                <w:rFonts w:ascii="Times New Roman" w:hAnsi="Times New Roman"/>
                <w:color w:val="000000"/>
              </w:rPr>
            </w:pPr>
            <w:r>
              <w:rPr>
                <w:rFonts w:ascii="Times New Roman" w:hAnsi="Times New Roman"/>
                <w:color w:val="000000"/>
              </w:rPr>
              <w:t>符合第二章“投标人须知”第1.4.1项规定</w:t>
            </w:r>
          </w:p>
        </w:tc>
      </w:tr>
      <w:tr w14:paraId="272C0D3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vAlign w:val="center"/>
          </w:tcPr>
          <w:p w14:paraId="78B151FE">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7DBBAE9A">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vAlign w:val="center"/>
          </w:tcPr>
          <w:p w14:paraId="1F0033E7">
            <w:pPr>
              <w:spacing w:line="440" w:lineRule="exact"/>
              <w:jc w:val="left"/>
              <w:rPr>
                <w:rFonts w:ascii="Times New Roman" w:hAnsi="Times New Roman"/>
                <w:color w:val="000000"/>
              </w:rPr>
            </w:pPr>
            <w:r>
              <w:rPr>
                <w:rFonts w:ascii="Times New Roman" w:hAnsi="Times New Roman"/>
                <w:color w:val="000000"/>
              </w:rPr>
              <w:t>其他要求</w:t>
            </w:r>
          </w:p>
        </w:tc>
        <w:tc>
          <w:tcPr>
            <w:tcW w:w="4680" w:type="dxa"/>
            <w:tcBorders>
              <w:top w:val="single" w:color="auto" w:sz="4" w:space="0"/>
              <w:left w:val="single" w:color="auto" w:sz="4" w:space="0"/>
              <w:bottom w:val="single" w:color="auto" w:sz="4" w:space="0"/>
              <w:right w:val="single" w:color="auto" w:sz="4" w:space="0"/>
            </w:tcBorders>
            <w:vAlign w:val="center"/>
          </w:tcPr>
          <w:p w14:paraId="5F45A57B">
            <w:pPr>
              <w:spacing w:line="440" w:lineRule="exact"/>
              <w:rPr>
                <w:rFonts w:ascii="Times New Roman" w:hAnsi="Times New Roman"/>
                <w:color w:val="000000"/>
              </w:rPr>
            </w:pPr>
            <w:r>
              <w:rPr>
                <w:rFonts w:ascii="Times New Roman" w:hAnsi="Times New Roman"/>
                <w:color w:val="000000"/>
              </w:rPr>
              <w:t>符合第二章“投标人须知”第1.4.1项规定</w:t>
            </w:r>
          </w:p>
        </w:tc>
      </w:tr>
      <w:tr w14:paraId="438DD43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vAlign w:val="center"/>
          </w:tcPr>
          <w:p w14:paraId="20FF408B">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455610C0">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vAlign w:val="center"/>
          </w:tcPr>
          <w:p w14:paraId="2B441642">
            <w:pPr>
              <w:spacing w:line="440" w:lineRule="exact"/>
              <w:jc w:val="left"/>
              <w:rPr>
                <w:rFonts w:ascii="Times New Roman" w:hAnsi="Times New Roman"/>
                <w:color w:val="000000"/>
              </w:rPr>
            </w:pPr>
            <w:r>
              <w:rPr>
                <w:rFonts w:ascii="Times New Roman" w:hAnsi="Times New Roman"/>
                <w:color w:val="000000"/>
              </w:rPr>
              <w:t>联合体投标人</w:t>
            </w:r>
          </w:p>
        </w:tc>
        <w:tc>
          <w:tcPr>
            <w:tcW w:w="4680" w:type="dxa"/>
            <w:tcBorders>
              <w:top w:val="single" w:color="auto" w:sz="4" w:space="0"/>
              <w:left w:val="single" w:color="auto" w:sz="4" w:space="0"/>
              <w:bottom w:val="single" w:color="auto" w:sz="4" w:space="0"/>
              <w:right w:val="single" w:color="auto" w:sz="4" w:space="0"/>
            </w:tcBorders>
            <w:vAlign w:val="center"/>
          </w:tcPr>
          <w:p w14:paraId="4BFCFF20">
            <w:pPr>
              <w:spacing w:line="440" w:lineRule="exact"/>
              <w:rPr>
                <w:rFonts w:ascii="Times New Roman" w:hAnsi="Times New Roman"/>
                <w:color w:val="000000"/>
              </w:rPr>
            </w:pPr>
            <w:r>
              <w:rPr>
                <w:rFonts w:ascii="Times New Roman" w:hAnsi="Times New Roman"/>
                <w:color w:val="000000"/>
              </w:rPr>
              <w:t>符合第二章“投标人须知”第1.4.2项规定</w:t>
            </w:r>
          </w:p>
        </w:tc>
      </w:tr>
      <w:tr w14:paraId="37885CE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vAlign w:val="center"/>
          </w:tcPr>
          <w:p w14:paraId="292E7F0F">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560780E5">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vAlign w:val="center"/>
          </w:tcPr>
          <w:p w14:paraId="47528194">
            <w:pPr>
              <w:spacing w:line="440" w:lineRule="exact"/>
              <w:jc w:val="left"/>
              <w:rPr>
                <w:rFonts w:ascii="Times New Roman" w:hAnsi="Times New Roman"/>
                <w:color w:val="000000"/>
              </w:rPr>
            </w:pPr>
            <w:r>
              <w:rPr>
                <w:rFonts w:ascii="Times New Roman" w:hAnsi="Times New Roman"/>
                <w:color w:val="000000"/>
              </w:rPr>
              <w:t>不存在禁止投标的情形</w:t>
            </w:r>
          </w:p>
        </w:tc>
        <w:tc>
          <w:tcPr>
            <w:tcW w:w="4680" w:type="dxa"/>
            <w:tcBorders>
              <w:top w:val="single" w:color="auto" w:sz="4" w:space="0"/>
              <w:left w:val="single" w:color="auto" w:sz="4" w:space="0"/>
              <w:bottom w:val="single" w:color="auto" w:sz="4" w:space="0"/>
              <w:right w:val="single" w:color="auto" w:sz="4" w:space="0"/>
            </w:tcBorders>
            <w:vAlign w:val="center"/>
          </w:tcPr>
          <w:p w14:paraId="40E34868">
            <w:pPr>
              <w:spacing w:line="440" w:lineRule="exact"/>
              <w:rPr>
                <w:rFonts w:ascii="Times New Roman" w:hAnsi="Times New Roman"/>
                <w:color w:val="000000"/>
              </w:rPr>
            </w:pPr>
            <w:r>
              <w:rPr>
                <w:rFonts w:ascii="Times New Roman" w:hAnsi="Times New Roman"/>
                <w:color w:val="000000"/>
              </w:rPr>
              <w:t>不存在第二章“投标人须知”第1.4.3项规定的任何一种情形</w:t>
            </w:r>
          </w:p>
        </w:tc>
      </w:tr>
      <w:tr w14:paraId="01DA22A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vAlign w:val="center"/>
          </w:tcPr>
          <w:p w14:paraId="2274F78A">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026C2128">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vAlign w:val="center"/>
          </w:tcPr>
          <w:p w14:paraId="4A322D60">
            <w:pPr>
              <w:spacing w:line="440" w:lineRule="exact"/>
              <w:jc w:val="left"/>
              <w:rPr>
                <w:rFonts w:ascii="Times New Roman" w:hAnsi="Times New Roman"/>
                <w:color w:val="000000"/>
              </w:rPr>
            </w:pPr>
            <w:r>
              <w:rPr>
                <w:rFonts w:ascii="Times New Roman" w:hAnsi="Times New Roman"/>
                <w:color w:val="000000"/>
              </w:rPr>
              <w:t>投标材料制造商的资质要求（如有）</w:t>
            </w:r>
          </w:p>
        </w:tc>
        <w:tc>
          <w:tcPr>
            <w:tcW w:w="4680" w:type="dxa"/>
            <w:tcBorders>
              <w:top w:val="single" w:color="auto" w:sz="4" w:space="0"/>
              <w:left w:val="single" w:color="auto" w:sz="4" w:space="0"/>
              <w:bottom w:val="single" w:color="auto" w:sz="4" w:space="0"/>
              <w:right w:val="single" w:color="auto" w:sz="4" w:space="0"/>
            </w:tcBorders>
            <w:vAlign w:val="center"/>
          </w:tcPr>
          <w:p w14:paraId="116AA5B8">
            <w:pPr>
              <w:spacing w:line="440" w:lineRule="exact"/>
              <w:rPr>
                <w:rFonts w:ascii="Times New Roman" w:hAnsi="Times New Roman"/>
                <w:color w:val="000000"/>
              </w:rPr>
            </w:pPr>
            <w:r>
              <w:rPr>
                <w:rFonts w:ascii="Times New Roman" w:hAnsi="Times New Roman"/>
                <w:color w:val="000000"/>
              </w:rPr>
              <w:t>符合第二章“投标人须知”第1.4.1项规定</w:t>
            </w:r>
          </w:p>
        </w:tc>
      </w:tr>
      <w:tr w14:paraId="7746BDF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vAlign w:val="center"/>
          </w:tcPr>
          <w:p w14:paraId="67801CE3">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3629AF40">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vAlign w:val="center"/>
          </w:tcPr>
          <w:p w14:paraId="722A2863">
            <w:pPr>
              <w:spacing w:line="440" w:lineRule="exact"/>
              <w:jc w:val="left"/>
              <w:rPr>
                <w:rFonts w:ascii="Times New Roman" w:hAnsi="Times New Roman"/>
                <w:color w:val="000000"/>
              </w:rPr>
            </w:pPr>
            <w:r>
              <w:rPr>
                <w:rFonts w:ascii="Times New Roman" w:hAnsi="Times New Roman"/>
                <w:color w:val="000000"/>
              </w:rPr>
              <w:t>投标材料的业绩要求（如有）</w:t>
            </w:r>
          </w:p>
        </w:tc>
        <w:tc>
          <w:tcPr>
            <w:tcW w:w="4680" w:type="dxa"/>
            <w:tcBorders>
              <w:top w:val="single" w:color="auto" w:sz="4" w:space="0"/>
              <w:left w:val="single" w:color="auto" w:sz="4" w:space="0"/>
              <w:bottom w:val="single" w:color="auto" w:sz="4" w:space="0"/>
              <w:right w:val="single" w:color="auto" w:sz="4" w:space="0"/>
            </w:tcBorders>
            <w:vAlign w:val="center"/>
          </w:tcPr>
          <w:p w14:paraId="292F2F2F">
            <w:pPr>
              <w:spacing w:line="440" w:lineRule="exact"/>
              <w:rPr>
                <w:rFonts w:ascii="Times New Roman" w:hAnsi="Times New Roman"/>
                <w:color w:val="000000"/>
              </w:rPr>
            </w:pPr>
            <w:r>
              <w:rPr>
                <w:rFonts w:ascii="Times New Roman" w:hAnsi="Times New Roman"/>
                <w:color w:val="000000"/>
              </w:rPr>
              <w:t>符合第二章“投标人须知”第1.4.1项规定</w:t>
            </w:r>
          </w:p>
        </w:tc>
      </w:tr>
      <w:tr w14:paraId="6235AF5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restart"/>
            <w:tcBorders>
              <w:top w:val="single" w:color="auto" w:sz="4" w:space="0"/>
              <w:bottom w:val="single" w:color="auto" w:sz="4" w:space="0"/>
              <w:right w:val="single" w:color="auto" w:sz="4" w:space="0"/>
            </w:tcBorders>
            <w:vAlign w:val="center"/>
          </w:tcPr>
          <w:p w14:paraId="018B15F8">
            <w:pPr>
              <w:spacing w:line="440" w:lineRule="exact"/>
              <w:jc w:val="center"/>
              <w:rPr>
                <w:rFonts w:ascii="Times New Roman" w:hAnsi="Times New Roman"/>
                <w:color w:val="000000"/>
              </w:rPr>
            </w:pPr>
            <w:r>
              <w:rPr>
                <w:rFonts w:ascii="Times New Roman" w:hAnsi="Times New Roman"/>
                <w:color w:val="000000"/>
              </w:rPr>
              <w:t>2.1.3</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14:paraId="58739923">
            <w:pPr>
              <w:spacing w:line="440" w:lineRule="exact"/>
              <w:jc w:val="center"/>
              <w:rPr>
                <w:rFonts w:ascii="Times New Roman" w:hAnsi="Times New Roman"/>
                <w:color w:val="000000"/>
              </w:rPr>
            </w:pPr>
            <w:r>
              <w:rPr>
                <w:rFonts w:ascii="Times New Roman" w:hAnsi="Times New Roman"/>
                <w:color w:val="000000"/>
              </w:rPr>
              <w:t>响应性评审标准</w:t>
            </w:r>
          </w:p>
        </w:tc>
        <w:tc>
          <w:tcPr>
            <w:tcW w:w="2476" w:type="dxa"/>
            <w:tcBorders>
              <w:top w:val="single" w:color="auto" w:sz="4" w:space="0"/>
              <w:left w:val="single" w:color="auto" w:sz="4" w:space="0"/>
              <w:bottom w:val="single" w:color="auto" w:sz="4" w:space="0"/>
              <w:right w:val="single" w:color="auto" w:sz="4" w:space="0"/>
            </w:tcBorders>
            <w:vAlign w:val="center"/>
          </w:tcPr>
          <w:p w14:paraId="78F50D85">
            <w:pPr>
              <w:spacing w:line="440" w:lineRule="exact"/>
              <w:jc w:val="left"/>
              <w:rPr>
                <w:rFonts w:ascii="Times New Roman" w:hAnsi="Times New Roman"/>
                <w:color w:val="000000"/>
              </w:rPr>
            </w:pPr>
            <w:r>
              <w:rPr>
                <w:rFonts w:ascii="Times New Roman" w:hAnsi="Times New Roman"/>
                <w:color w:val="000000"/>
              </w:rPr>
              <w:t>投标报价</w:t>
            </w:r>
          </w:p>
        </w:tc>
        <w:tc>
          <w:tcPr>
            <w:tcW w:w="4680" w:type="dxa"/>
            <w:tcBorders>
              <w:top w:val="single" w:color="auto" w:sz="4" w:space="0"/>
              <w:left w:val="single" w:color="auto" w:sz="4" w:space="0"/>
              <w:bottom w:val="single" w:color="auto" w:sz="4" w:space="0"/>
            </w:tcBorders>
            <w:vAlign w:val="center"/>
          </w:tcPr>
          <w:p w14:paraId="03DAF8BB">
            <w:pPr>
              <w:spacing w:line="440" w:lineRule="exact"/>
              <w:rPr>
                <w:rFonts w:ascii="Times New Roman" w:hAnsi="Times New Roman"/>
                <w:color w:val="000000"/>
              </w:rPr>
            </w:pPr>
            <w:r>
              <w:rPr>
                <w:rFonts w:ascii="Times New Roman" w:hAnsi="Times New Roman"/>
                <w:color w:val="000000"/>
              </w:rPr>
              <w:t>符合第二章“投标人须知”第3.2款规定</w:t>
            </w:r>
          </w:p>
        </w:tc>
      </w:tr>
      <w:tr w14:paraId="6ED5482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vAlign w:val="center"/>
          </w:tcPr>
          <w:p w14:paraId="07D454FF">
            <w:pPr>
              <w:spacing w:line="440" w:lineRule="exact"/>
              <w:jc w:val="center"/>
              <w:rPr>
                <w:rFonts w:ascii="Times New Roman" w:hAnsi="Times New Roman"/>
                <w:color w:val="000000"/>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075F807E">
            <w:pPr>
              <w:spacing w:line="440" w:lineRule="exact"/>
              <w:jc w:val="center"/>
              <w:rPr>
                <w:rFonts w:ascii="Times New Roman" w:hAnsi="Times New Roman"/>
                <w:color w:val="000000"/>
              </w:rPr>
            </w:pPr>
          </w:p>
        </w:tc>
        <w:tc>
          <w:tcPr>
            <w:tcW w:w="2476" w:type="dxa"/>
            <w:tcBorders>
              <w:top w:val="single" w:color="auto" w:sz="4" w:space="0"/>
              <w:left w:val="single" w:color="auto" w:sz="4" w:space="0"/>
              <w:bottom w:val="single" w:color="auto" w:sz="4" w:space="0"/>
              <w:right w:val="single" w:color="auto" w:sz="4" w:space="0"/>
            </w:tcBorders>
            <w:vAlign w:val="center"/>
          </w:tcPr>
          <w:p w14:paraId="3BD54C5E">
            <w:pPr>
              <w:spacing w:line="440" w:lineRule="exact"/>
              <w:jc w:val="left"/>
              <w:rPr>
                <w:rFonts w:ascii="Times New Roman" w:hAnsi="Times New Roman"/>
                <w:color w:val="000000"/>
              </w:rPr>
            </w:pPr>
            <w:r>
              <w:rPr>
                <w:rFonts w:ascii="Times New Roman" w:hAnsi="Times New Roman"/>
                <w:color w:val="000000"/>
              </w:rPr>
              <w:t>投标内容</w:t>
            </w:r>
          </w:p>
        </w:tc>
        <w:tc>
          <w:tcPr>
            <w:tcW w:w="4680" w:type="dxa"/>
            <w:tcBorders>
              <w:top w:val="single" w:color="auto" w:sz="4" w:space="0"/>
              <w:left w:val="single" w:color="auto" w:sz="4" w:space="0"/>
              <w:bottom w:val="single" w:color="auto" w:sz="4" w:space="0"/>
            </w:tcBorders>
            <w:vAlign w:val="center"/>
          </w:tcPr>
          <w:p w14:paraId="038AFE41">
            <w:pPr>
              <w:spacing w:line="440" w:lineRule="exact"/>
              <w:jc w:val="left"/>
              <w:rPr>
                <w:rFonts w:ascii="Times New Roman" w:hAnsi="Times New Roman"/>
                <w:color w:val="000000"/>
              </w:rPr>
            </w:pPr>
            <w:r>
              <w:rPr>
                <w:rFonts w:ascii="Times New Roman" w:hAnsi="Times New Roman"/>
                <w:color w:val="000000"/>
              </w:rPr>
              <w:t>符合第二章“投标人须知”第1.3.1项规定</w:t>
            </w:r>
          </w:p>
        </w:tc>
      </w:tr>
      <w:tr w14:paraId="2C86EA4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vAlign w:val="center"/>
          </w:tcPr>
          <w:p w14:paraId="64AC5218">
            <w:pPr>
              <w:spacing w:line="440" w:lineRule="exact"/>
              <w:jc w:val="center"/>
              <w:rPr>
                <w:rFonts w:ascii="Times New Roman" w:hAnsi="Times New Roman"/>
                <w:color w:val="000000"/>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02FE2BB0">
            <w:pPr>
              <w:spacing w:line="440" w:lineRule="exact"/>
              <w:jc w:val="center"/>
              <w:rPr>
                <w:rFonts w:ascii="Times New Roman" w:hAnsi="Times New Roman"/>
                <w:color w:val="000000"/>
              </w:rPr>
            </w:pPr>
          </w:p>
        </w:tc>
        <w:tc>
          <w:tcPr>
            <w:tcW w:w="2476" w:type="dxa"/>
            <w:tcBorders>
              <w:top w:val="single" w:color="auto" w:sz="4" w:space="0"/>
              <w:left w:val="single" w:color="auto" w:sz="4" w:space="0"/>
              <w:bottom w:val="single" w:color="auto" w:sz="4" w:space="0"/>
              <w:right w:val="single" w:color="auto" w:sz="4" w:space="0"/>
            </w:tcBorders>
            <w:vAlign w:val="center"/>
          </w:tcPr>
          <w:p w14:paraId="3E9441E2">
            <w:pPr>
              <w:spacing w:line="440" w:lineRule="exact"/>
              <w:jc w:val="left"/>
              <w:rPr>
                <w:rFonts w:ascii="Times New Roman" w:hAnsi="Times New Roman"/>
                <w:color w:val="000000"/>
              </w:rPr>
            </w:pPr>
            <w:r>
              <w:rPr>
                <w:rFonts w:ascii="Times New Roman" w:hAnsi="Times New Roman"/>
                <w:color w:val="000000"/>
              </w:rPr>
              <w:t>交货期</w:t>
            </w:r>
          </w:p>
        </w:tc>
        <w:tc>
          <w:tcPr>
            <w:tcW w:w="4680" w:type="dxa"/>
            <w:tcBorders>
              <w:top w:val="single" w:color="auto" w:sz="4" w:space="0"/>
              <w:left w:val="single" w:color="auto" w:sz="4" w:space="0"/>
              <w:bottom w:val="single" w:color="auto" w:sz="4" w:space="0"/>
            </w:tcBorders>
            <w:vAlign w:val="center"/>
          </w:tcPr>
          <w:p w14:paraId="41F8F9F4">
            <w:pPr>
              <w:spacing w:line="440" w:lineRule="exact"/>
              <w:jc w:val="left"/>
              <w:rPr>
                <w:rFonts w:ascii="Times New Roman" w:hAnsi="Times New Roman"/>
                <w:color w:val="000000"/>
              </w:rPr>
            </w:pPr>
            <w:r>
              <w:rPr>
                <w:rFonts w:ascii="Times New Roman" w:hAnsi="Times New Roman"/>
                <w:color w:val="000000"/>
              </w:rPr>
              <w:t>符合第二章“投标人须知”第1.3.2项规定</w:t>
            </w:r>
          </w:p>
        </w:tc>
      </w:tr>
      <w:tr w14:paraId="56E6485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vAlign w:val="center"/>
          </w:tcPr>
          <w:p w14:paraId="212B189F">
            <w:pPr>
              <w:spacing w:line="440" w:lineRule="exact"/>
              <w:jc w:val="center"/>
              <w:rPr>
                <w:rFonts w:ascii="Times New Roman" w:hAnsi="Times New Roman"/>
                <w:color w:val="000000"/>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7090282B">
            <w:pPr>
              <w:spacing w:line="440" w:lineRule="exact"/>
              <w:jc w:val="center"/>
              <w:rPr>
                <w:rFonts w:ascii="Times New Roman" w:hAnsi="Times New Roman"/>
                <w:color w:val="000000"/>
              </w:rPr>
            </w:pPr>
          </w:p>
        </w:tc>
        <w:tc>
          <w:tcPr>
            <w:tcW w:w="2476" w:type="dxa"/>
            <w:tcBorders>
              <w:top w:val="single" w:color="auto" w:sz="4" w:space="0"/>
              <w:left w:val="single" w:color="auto" w:sz="4" w:space="0"/>
              <w:bottom w:val="single" w:color="auto" w:sz="4" w:space="0"/>
              <w:right w:val="single" w:color="auto" w:sz="4" w:space="0"/>
            </w:tcBorders>
            <w:vAlign w:val="center"/>
          </w:tcPr>
          <w:p w14:paraId="65183F6F">
            <w:pPr>
              <w:spacing w:line="440" w:lineRule="exact"/>
              <w:jc w:val="left"/>
              <w:rPr>
                <w:rFonts w:ascii="Times New Roman" w:hAnsi="Times New Roman"/>
                <w:color w:val="000000"/>
              </w:rPr>
            </w:pPr>
            <w:r>
              <w:rPr>
                <w:rFonts w:hint="eastAsia" w:ascii="Times New Roman" w:hAnsi="Times New Roman"/>
                <w:color w:val="000000"/>
              </w:rPr>
              <w:t>交货地点</w:t>
            </w:r>
          </w:p>
        </w:tc>
        <w:tc>
          <w:tcPr>
            <w:tcW w:w="4680" w:type="dxa"/>
            <w:tcBorders>
              <w:top w:val="single" w:color="auto" w:sz="4" w:space="0"/>
              <w:left w:val="single" w:color="auto" w:sz="4" w:space="0"/>
              <w:bottom w:val="single" w:color="auto" w:sz="4" w:space="0"/>
            </w:tcBorders>
            <w:vAlign w:val="center"/>
          </w:tcPr>
          <w:p w14:paraId="5528B3AE">
            <w:pPr>
              <w:spacing w:line="440" w:lineRule="exact"/>
              <w:jc w:val="left"/>
              <w:rPr>
                <w:rFonts w:ascii="Times New Roman" w:hAnsi="Times New Roman"/>
                <w:color w:val="000000"/>
              </w:rPr>
            </w:pPr>
            <w:r>
              <w:rPr>
                <w:rFonts w:ascii="Times New Roman" w:hAnsi="Times New Roman"/>
                <w:color w:val="000000"/>
              </w:rPr>
              <w:t>符合第二章“投标人须知”第1.3.</w:t>
            </w:r>
            <w:r>
              <w:rPr>
                <w:rFonts w:hint="eastAsia" w:ascii="Times New Roman" w:hAnsi="Times New Roman"/>
                <w:color w:val="000000"/>
              </w:rPr>
              <w:t>3</w:t>
            </w:r>
            <w:r>
              <w:rPr>
                <w:rFonts w:ascii="Times New Roman" w:hAnsi="Times New Roman"/>
                <w:color w:val="000000"/>
              </w:rPr>
              <w:t>项规定</w:t>
            </w:r>
          </w:p>
        </w:tc>
      </w:tr>
      <w:tr w14:paraId="19EB9FE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vAlign w:val="center"/>
          </w:tcPr>
          <w:p w14:paraId="2C28E73E">
            <w:pPr>
              <w:spacing w:line="440" w:lineRule="exact"/>
              <w:jc w:val="center"/>
              <w:rPr>
                <w:rFonts w:ascii="Times New Roman" w:hAnsi="Times New Roman"/>
                <w:color w:val="000000"/>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51F3F6D2">
            <w:pPr>
              <w:spacing w:line="440" w:lineRule="exact"/>
              <w:jc w:val="center"/>
              <w:rPr>
                <w:rFonts w:ascii="Times New Roman" w:hAnsi="Times New Roman"/>
                <w:color w:val="000000"/>
              </w:rPr>
            </w:pPr>
          </w:p>
        </w:tc>
        <w:tc>
          <w:tcPr>
            <w:tcW w:w="2476" w:type="dxa"/>
            <w:tcBorders>
              <w:top w:val="single" w:color="auto" w:sz="4" w:space="0"/>
              <w:left w:val="single" w:color="auto" w:sz="4" w:space="0"/>
              <w:bottom w:val="single" w:color="auto" w:sz="4" w:space="0"/>
              <w:right w:val="single" w:color="auto" w:sz="4" w:space="0"/>
            </w:tcBorders>
            <w:vAlign w:val="center"/>
          </w:tcPr>
          <w:p w14:paraId="64CDC199">
            <w:pPr>
              <w:spacing w:line="440" w:lineRule="exact"/>
              <w:jc w:val="left"/>
              <w:rPr>
                <w:rFonts w:ascii="Times New Roman" w:hAnsi="Times New Roman"/>
                <w:color w:val="000000"/>
              </w:rPr>
            </w:pPr>
            <w:r>
              <w:rPr>
                <w:rFonts w:hint="eastAsia" w:ascii="Times New Roman" w:hAnsi="Times New Roman"/>
                <w:color w:val="000000"/>
              </w:rPr>
              <w:t>质量要求</w:t>
            </w:r>
          </w:p>
        </w:tc>
        <w:tc>
          <w:tcPr>
            <w:tcW w:w="4680" w:type="dxa"/>
            <w:tcBorders>
              <w:top w:val="single" w:color="auto" w:sz="4" w:space="0"/>
              <w:left w:val="single" w:color="auto" w:sz="4" w:space="0"/>
              <w:bottom w:val="single" w:color="auto" w:sz="4" w:space="0"/>
            </w:tcBorders>
            <w:vAlign w:val="center"/>
          </w:tcPr>
          <w:p w14:paraId="6FC4BDF9">
            <w:pPr>
              <w:spacing w:line="440" w:lineRule="exact"/>
              <w:jc w:val="left"/>
              <w:rPr>
                <w:rFonts w:ascii="Times New Roman" w:hAnsi="Times New Roman"/>
                <w:color w:val="000000"/>
              </w:rPr>
            </w:pPr>
            <w:r>
              <w:rPr>
                <w:rFonts w:ascii="Times New Roman" w:hAnsi="Times New Roman"/>
                <w:color w:val="000000"/>
              </w:rPr>
              <w:t>符合第二章“投标人须知”第1.3.</w:t>
            </w:r>
            <w:r>
              <w:rPr>
                <w:rFonts w:hint="eastAsia" w:ascii="Times New Roman" w:hAnsi="Times New Roman"/>
                <w:color w:val="000000"/>
              </w:rPr>
              <w:t>4</w:t>
            </w:r>
            <w:r>
              <w:rPr>
                <w:rFonts w:ascii="Times New Roman" w:hAnsi="Times New Roman"/>
                <w:color w:val="000000"/>
              </w:rPr>
              <w:t>项规定</w:t>
            </w:r>
          </w:p>
        </w:tc>
      </w:tr>
      <w:tr w14:paraId="24B4F7C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vAlign w:val="center"/>
          </w:tcPr>
          <w:p w14:paraId="1C77F83D">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02A53F07">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tcPr>
          <w:p w14:paraId="1E926919">
            <w:pPr>
              <w:spacing w:line="440" w:lineRule="exact"/>
              <w:jc w:val="left"/>
              <w:rPr>
                <w:rFonts w:ascii="Times New Roman" w:hAnsi="Times New Roman"/>
                <w:color w:val="000000"/>
              </w:rPr>
            </w:pPr>
            <w:r>
              <w:rPr>
                <w:rFonts w:ascii="Times New Roman" w:hAnsi="Times New Roman"/>
                <w:color w:val="000000"/>
              </w:rPr>
              <w:t>投标</w:t>
            </w:r>
            <w:r>
              <w:rPr>
                <w:rFonts w:ascii="Times New Roman" w:hAnsi="Times New Roman"/>
              </w:rPr>
              <w:t>有效期</w:t>
            </w:r>
          </w:p>
        </w:tc>
        <w:tc>
          <w:tcPr>
            <w:tcW w:w="4680" w:type="dxa"/>
            <w:tcBorders>
              <w:top w:val="single" w:color="auto" w:sz="4" w:space="0"/>
              <w:left w:val="single" w:color="auto" w:sz="4" w:space="0"/>
              <w:bottom w:val="single" w:color="auto" w:sz="4" w:space="0"/>
            </w:tcBorders>
          </w:tcPr>
          <w:p w14:paraId="4F300377">
            <w:pPr>
              <w:spacing w:line="440" w:lineRule="exact"/>
              <w:rPr>
                <w:rFonts w:ascii="Times New Roman" w:hAnsi="Times New Roman"/>
              </w:rPr>
            </w:pPr>
            <w:r>
              <w:rPr>
                <w:rFonts w:ascii="Times New Roman" w:hAnsi="Times New Roman"/>
                <w:color w:val="000000"/>
              </w:rPr>
              <w:t>符合第二章“投标人须知”第3.</w:t>
            </w:r>
            <w:r>
              <w:rPr>
                <w:rFonts w:ascii="Times New Roman" w:hAnsi="Times New Roman"/>
              </w:rPr>
              <w:t>3.1项规定</w:t>
            </w:r>
          </w:p>
        </w:tc>
      </w:tr>
      <w:tr w14:paraId="2642ACC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vAlign w:val="center"/>
          </w:tcPr>
          <w:p w14:paraId="3BD16DFC">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17AE3CED">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tcPr>
          <w:p w14:paraId="4BF9ED70">
            <w:pPr>
              <w:spacing w:line="440" w:lineRule="exact"/>
              <w:jc w:val="left"/>
              <w:rPr>
                <w:rFonts w:ascii="Times New Roman" w:hAnsi="Times New Roman"/>
              </w:rPr>
            </w:pPr>
            <w:r>
              <w:rPr>
                <w:rFonts w:ascii="Times New Roman" w:hAnsi="Times New Roman"/>
              </w:rPr>
              <w:t>投标保证金</w:t>
            </w:r>
          </w:p>
        </w:tc>
        <w:tc>
          <w:tcPr>
            <w:tcW w:w="4680" w:type="dxa"/>
            <w:tcBorders>
              <w:top w:val="single" w:color="auto" w:sz="4" w:space="0"/>
              <w:left w:val="single" w:color="auto" w:sz="4" w:space="0"/>
              <w:bottom w:val="single" w:color="auto" w:sz="4" w:space="0"/>
            </w:tcBorders>
          </w:tcPr>
          <w:p w14:paraId="2514B508">
            <w:pPr>
              <w:spacing w:line="440" w:lineRule="exact"/>
              <w:rPr>
                <w:rFonts w:ascii="Times New Roman" w:hAnsi="Times New Roman"/>
              </w:rPr>
            </w:pPr>
            <w:r>
              <w:rPr>
                <w:rFonts w:ascii="Times New Roman" w:hAnsi="Times New Roman"/>
              </w:rPr>
              <w:t>符合第二章“投标人须知”第3.4</w:t>
            </w:r>
            <w:r>
              <w:rPr>
                <w:rFonts w:hint="eastAsia" w:ascii="Times New Roman" w:hAnsi="Times New Roman"/>
              </w:rPr>
              <w:t>.1项</w:t>
            </w:r>
            <w:r>
              <w:rPr>
                <w:rFonts w:ascii="Times New Roman" w:hAnsi="Times New Roman"/>
              </w:rPr>
              <w:t>规定</w:t>
            </w:r>
          </w:p>
        </w:tc>
      </w:tr>
      <w:tr w14:paraId="4AA0D15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vAlign w:val="center"/>
          </w:tcPr>
          <w:p w14:paraId="4D905D04">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213D5520">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tcPr>
          <w:p w14:paraId="32646372">
            <w:pPr>
              <w:spacing w:line="440" w:lineRule="exact"/>
              <w:jc w:val="left"/>
              <w:rPr>
                <w:rFonts w:ascii="Times New Roman" w:hAnsi="Times New Roman"/>
              </w:rPr>
            </w:pPr>
            <w:r>
              <w:rPr>
                <w:rFonts w:ascii="Times New Roman" w:hAnsi="Times New Roman"/>
              </w:rPr>
              <w:t>权利义务</w:t>
            </w:r>
          </w:p>
        </w:tc>
        <w:tc>
          <w:tcPr>
            <w:tcW w:w="4680" w:type="dxa"/>
            <w:tcBorders>
              <w:top w:val="single" w:color="auto" w:sz="4" w:space="0"/>
              <w:left w:val="single" w:color="auto" w:sz="4" w:space="0"/>
              <w:bottom w:val="single" w:color="auto" w:sz="4" w:space="0"/>
            </w:tcBorders>
          </w:tcPr>
          <w:p w14:paraId="764380BF">
            <w:pPr>
              <w:spacing w:line="440" w:lineRule="exact"/>
              <w:rPr>
                <w:rFonts w:ascii="Times New Roman" w:hAnsi="Times New Roman"/>
              </w:rPr>
            </w:pPr>
            <w:r>
              <w:rPr>
                <w:rFonts w:ascii="Times New Roman" w:hAnsi="Times New Roman"/>
              </w:rPr>
              <w:t>符合第二章“投标人须知”</w:t>
            </w:r>
            <w:r>
              <w:rPr>
                <w:rFonts w:hint="eastAsia" w:ascii="Times New Roman" w:hAnsi="Times New Roman"/>
              </w:rPr>
              <w:t>第1.1</w:t>
            </w:r>
            <w:r>
              <w:rPr>
                <w:rFonts w:hint="eastAsia" w:ascii="Times New Roman" w:hAnsi="Times New Roman"/>
                <w:lang w:val="en-US" w:eastAsia="zh-CN"/>
              </w:rPr>
              <w:t>0</w:t>
            </w:r>
            <w:r>
              <w:rPr>
                <w:rFonts w:hint="eastAsia" w:ascii="Times New Roman" w:hAnsi="Times New Roman"/>
              </w:rPr>
              <w:t>.1项规定和</w:t>
            </w:r>
            <w:r>
              <w:rPr>
                <w:rFonts w:ascii="Times New Roman" w:hAnsi="Times New Roman"/>
              </w:rPr>
              <w:t>第</w:t>
            </w:r>
            <w:r>
              <w:rPr>
                <w:rFonts w:hint="eastAsia" w:ascii="Times New Roman" w:hAnsi="Times New Roman"/>
                <w:lang w:val="en-US" w:eastAsia="zh-CN"/>
              </w:rPr>
              <w:t>五</w:t>
            </w:r>
            <w:r>
              <w:rPr>
                <w:rFonts w:ascii="Times New Roman" w:hAnsi="Times New Roman"/>
              </w:rPr>
              <w:t>章“合同条款及格式”中</w:t>
            </w:r>
            <w:r>
              <w:rPr>
                <w:rFonts w:hint="eastAsia" w:ascii="Times New Roman" w:hAnsi="Times New Roman"/>
              </w:rPr>
              <w:t>的</w:t>
            </w:r>
            <w:r>
              <w:rPr>
                <w:rFonts w:ascii="Times New Roman" w:hAnsi="Times New Roman"/>
                <w:color w:val="000000"/>
              </w:rPr>
              <w:t>实质性要求和条件</w:t>
            </w:r>
          </w:p>
        </w:tc>
      </w:tr>
      <w:tr w14:paraId="23CA29A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vAlign w:val="center"/>
          </w:tcPr>
          <w:p w14:paraId="60DC04EA">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0B1DCD9A">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tcPr>
          <w:p w14:paraId="68CF5A2E">
            <w:pPr>
              <w:spacing w:line="440" w:lineRule="exact"/>
              <w:jc w:val="left"/>
              <w:rPr>
                <w:rFonts w:ascii="Times New Roman" w:hAnsi="Times New Roman"/>
              </w:rPr>
            </w:pPr>
            <w:r>
              <w:rPr>
                <w:rFonts w:ascii="Times New Roman" w:hAnsi="Times New Roman"/>
              </w:rPr>
              <w:t>投标材料及相关服务</w:t>
            </w:r>
          </w:p>
        </w:tc>
        <w:tc>
          <w:tcPr>
            <w:tcW w:w="4680" w:type="dxa"/>
            <w:tcBorders>
              <w:top w:val="single" w:color="auto" w:sz="4" w:space="0"/>
              <w:left w:val="single" w:color="auto" w:sz="4" w:space="0"/>
              <w:bottom w:val="single" w:color="auto" w:sz="4" w:space="0"/>
            </w:tcBorders>
          </w:tcPr>
          <w:p w14:paraId="00465C81">
            <w:pPr>
              <w:spacing w:line="440" w:lineRule="exact"/>
              <w:rPr>
                <w:rFonts w:ascii="Times New Roman" w:hAnsi="Times New Roman"/>
              </w:rPr>
            </w:pPr>
            <w:r>
              <w:rPr>
                <w:rFonts w:ascii="Times New Roman" w:hAnsi="Times New Roman"/>
              </w:rPr>
              <w:t>符合第五章“供货要求”中的实质性要求和条件</w:t>
            </w:r>
          </w:p>
        </w:tc>
      </w:tr>
      <w:tr w14:paraId="49B1F63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vAlign w:val="center"/>
          </w:tcPr>
          <w:p w14:paraId="5B70498E">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307B71A6">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tcPr>
          <w:p w14:paraId="7783417E">
            <w:pPr>
              <w:spacing w:line="440" w:lineRule="exact"/>
              <w:jc w:val="left"/>
              <w:rPr>
                <w:rFonts w:ascii="Times New Roman" w:hAnsi="Times New Roman"/>
                <w:color w:val="000000"/>
              </w:rPr>
            </w:pPr>
            <w:r>
              <w:rPr>
                <w:rFonts w:ascii="Times New Roman" w:hAnsi="Times New Roman"/>
              </w:rPr>
              <w:t>技术支持资料</w:t>
            </w:r>
          </w:p>
        </w:tc>
        <w:tc>
          <w:tcPr>
            <w:tcW w:w="4680" w:type="dxa"/>
            <w:tcBorders>
              <w:top w:val="single" w:color="auto" w:sz="4" w:space="0"/>
              <w:left w:val="single" w:color="auto" w:sz="4" w:space="0"/>
              <w:bottom w:val="single" w:color="auto" w:sz="4" w:space="0"/>
            </w:tcBorders>
          </w:tcPr>
          <w:p w14:paraId="33BE17C2">
            <w:pPr>
              <w:spacing w:line="440" w:lineRule="exact"/>
              <w:rPr>
                <w:rFonts w:ascii="Times New Roman" w:hAnsi="Times New Roman"/>
                <w:color w:val="000000"/>
              </w:rPr>
            </w:pPr>
            <w:r>
              <w:rPr>
                <w:rFonts w:ascii="Times New Roman" w:hAnsi="Times New Roman"/>
                <w:color w:val="000000"/>
              </w:rPr>
              <w:t>符合第二章“投标人须知”第1.1</w:t>
            </w:r>
            <w:r>
              <w:rPr>
                <w:rFonts w:hint="eastAsia" w:ascii="Times New Roman" w:hAnsi="Times New Roman"/>
                <w:color w:val="000000"/>
                <w:lang w:val="en-US" w:eastAsia="zh-CN"/>
              </w:rPr>
              <w:t>0</w:t>
            </w:r>
            <w:r>
              <w:rPr>
                <w:rFonts w:ascii="Times New Roman" w:hAnsi="Times New Roman"/>
                <w:color w:val="000000"/>
              </w:rPr>
              <w:t>.3</w:t>
            </w:r>
            <w:r>
              <w:rPr>
                <w:rFonts w:ascii="Times New Roman" w:hAnsi="Times New Roman"/>
              </w:rPr>
              <w:t>项规定</w:t>
            </w:r>
          </w:p>
        </w:tc>
      </w:tr>
    </w:tbl>
    <w:p w14:paraId="02BA74DA">
      <w:r>
        <w:br w:type="page"/>
      </w:r>
    </w:p>
    <w:tbl>
      <w:tblPr>
        <w:tblStyle w:val="25"/>
        <w:tblW w:w="9180"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0"/>
        <w:gridCol w:w="1124"/>
        <w:gridCol w:w="2476"/>
        <w:gridCol w:w="4680"/>
      </w:tblGrid>
      <w:tr w14:paraId="24712A3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024" w:type="dxa"/>
            <w:gridSpan w:val="2"/>
            <w:tcBorders>
              <w:top w:val="single" w:color="auto" w:sz="4" w:space="0"/>
              <w:bottom w:val="single" w:color="auto" w:sz="4" w:space="0"/>
              <w:right w:val="single" w:color="auto" w:sz="4" w:space="0"/>
            </w:tcBorders>
            <w:vAlign w:val="center"/>
          </w:tcPr>
          <w:p w14:paraId="17878BC9">
            <w:pPr>
              <w:spacing w:line="440" w:lineRule="exact"/>
              <w:jc w:val="center"/>
              <w:rPr>
                <w:rFonts w:ascii="Times New Roman" w:hAnsi="Times New Roman"/>
                <w:b/>
                <w:color w:val="000000"/>
              </w:rPr>
            </w:pPr>
            <w:r>
              <w:rPr>
                <w:rFonts w:ascii="Times New Roman" w:hAnsi="Times New Roman"/>
                <w:b/>
                <w:color w:val="000000"/>
              </w:rPr>
              <w:t>条款号</w:t>
            </w:r>
          </w:p>
        </w:tc>
        <w:tc>
          <w:tcPr>
            <w:tcW w:w="2476" w:type="dxa"/>
            <w:tcBorders>
              <w:top w:val="single" w:color="auto" w:sz="4" w:space="0"/>
              <w:left w:val="single" w:color="auto" w:sz="4" w:space="0"/>
              <w:bottom w:val="single" w:color="auto" w:sz="4" w:space="0"/>
              <w:right w:val="single" w:color="auto" w:sz="4" w:space="0"/>
            </w:tcBorders>
            <w:vAlign w:val="center"/>
          </w:tcPr>
          <w:p w14:paraId="6EB2DDDE">
            <w:pPr>
              <w:spacing w:line="440" w:lineRule="exact"/>
              <w:jc w:val="center"/>
              <w:rPr>
                <w:rFonts w:ascii="Times New Roman" w:hAnsi="Times New Roman"/>
                <w:b/>
                <w:color w:val="000000"/>
              </w:rPr>
            </w:pPr>
            <w:r>
              <w:rPr>
                <w:rFonts w:ascii="Times New Roman" w:hAnsi="Times New Roman"/>
                <w:b/>
                <w:color w:val="000000"/>
              </w:rPr>
              <w:t>条款内容</w:t>
            </w:r>
          </w:p>
        </w:tc>
        <w:tc>
          <w:tcPr>
            <w:tcW w:w="4680" w:type="dxa"/>
            <w:tcBorders>
              <w:top w:val="single" w:color="auto" w:sz="4" w:space="0"/>
              <w:left w:val="single" w:color="auto" w:sz="4" w:space="0"/>
              <w:bottom w:val="single" w:color="auto" w:sz="4" w:space="0"/>
              <w:right w:val="single" w:color="auto" w:sz="4" w:space="0"/>
            </w:tcBorders>
            <w:vAlign w:val="center"/>
          </w:tcPr>
          <w:p w14:paraId="04DEA97F">
            <w:pPr>
              <w:spacing w:line="440" w:lineRule="exact"/>
              <w:jc w:val="center"/>
              <w:rPr>
                <w:rFonts w:ascii="Times New Roman" w:hAnsi="Times New Roman"/>
                <w:b/>
                <w:color w:val="000000"/>
              </w:rPr>
            </w:pPr>
            <w:r>
              <w:rPr>
                <w:rFonts w:ascii="Times New Roman" w:hAnsi="Times New Roman"/>
                <w:b/>
                <w:color w:val="000000"/>
              </w:rPr>
              <w:t>编列内容</w:t>
            </w:r>
          </w:p>
        </w:tc>
      </w:tr>
      <w:tr w14:paraId="66362C6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024" w:type="dxa"/>
            <w:gridSpan w:val="2"/>
            <w:tcBorders>
              <w:bottom w:val="single" w:color="auto" w:sz="4" w:space="0"/>
              <w:right w:val="single" w:color="auto" w:sz="4" w:space="0"/>
            </w:tcBorders>
            <w:vAlign w:val="center"/>
          </w:tcPr>
          <w:p w14:paraId="2DEFB4FF">
            <w:pPr>
              <w:spacing w:line="440" w:lineRule="exact"/>
              <w:jc w:val="center"/>
              <w:rPr>
                <w:rFonts w:ascii="Times New Roman" w:hAnsi="Times New Roman"/>
                <w:color w:val="000000"/>
              </w:rPr>
            </w:pPr>
            <w:r>
              <w:rPr>
                <w:rFonts w:ascii="Times New Roman" w:hAnsi="Times New Roman"/>
                <w:color w:val="000000"/>
              </w:rPr>
              <w:t>2.2.1</w:t>
            </w:r>
          </w:p>
        </w:tc>
        <w:tc>
          <w:tcPr>
            <w:tcW w:w="2476" w:type="dxa"/>
            <w:tcBorders>
              <w:top w:val="single" w:color="auto" w:sz="4" w:space="0"/>
              <w:left w:val="single" w:color="auto" w:sz="4" w:space="0"/>
              <w:bottom w:val="single" w:color="auto" w:sz="4" w:space="0"/>
              <w:right w:val="single" w:color="auto" w:sz="4" w:space="0"/>
            </w:tcBorders>
            <w:vAlign w:val="center"/>
          </w:tcPr>
          <w:p w14:paraId="6B04D464">
            <w:pPr>
              <w:spacing w:line="440" w:lineRule="exact"/>
              <w:jc w:val="left"/>
              <w:rPr>
                <w:rFonts w:ascii="Times New Roman" w:hAnsi="Times New Roman"/>
                <w:color w:val="000000"/>
              </w:rPr>
            </w:pPr>
            <w:r>
              <w:rPr>
                <w:rFonts w:ascii="Times New Roman" w:hAnsi="Times New Roman"/>
                <w:color w:val="000000"/>
              </w:rPr>
              <w:t>分值构成</w:t>
            </w:r>
          </w:p>
          <w:p w14:paraId="3C6732F2">
            <w:pPr>
              <w:spacing w:line="440" w:lineRule="exact"/>
              <w:jc w:val="left"/>
              <w:rPr>
                <w:rFonts w:ascii="Times New Roman" w:hAnsi="Times New Roman"/>
                <w:color w:val="000000"/>
              </w:rPr>
            </w:pPr>
            <w:r>
              <w:rPr>
                <w:rFonts w:ascii="Times New Roman" w:hAnsi="Times New Roman"/>
                <w:color w:val="000000"/>
              </w:rPr>
              <w:t>(总分100分)</w:t>
            </w:r>
          </w:p>
        </w:tc>
        <w:tc>
          <w:tcPr>
            <w:tcW w:w="4680" w:type="dxa"/>
            <w:tcBorders>
              <w:top w:val="single" w:color="auto" w:sz="4" w:space="0"/>
              <w:left w:val="single" w:color="auto" w:sz="4" w:space="0"/>
              <w:bottom w:val="single" w:color="auto" w:sz="4" w:space="0"/>
              <w:right w:val="single" w:color="auto" w:sz="4" w:space="0"/>
            </w:tcBorders>
            <w:vAlign w:val="center"/>
          </w:tcPr>
          <w:p w14:paraId="67ED25DD">
            <w:pPr>
              <w:spacing w:line="440" w:lineRule="exact"/>
              <w:rPr>
                <w:rFonts w:ascii="Times New Roman" w:hAnsi="Times New Roman"/>
                <w:color w:val="000000"/>
              </w:rPr>
            </w:pPr>
            <w:r>
              <w:rPr>
                <w:rFonts w:hint="eastAsia" w:ascii="Times New Roman" w:hAnsi="Times New Roman"/>
                <w:color w:val="000000"/>
                <w:lang w:val="en-US" w:eastAsia="zh-CN"/>
              </w:rPr>
              <w:t>综合标</w:t>
            </w:r>
            <w:r>
              <w:rPr>
                <w:rFonts w:ascii="Times New Roman" w:hAnsi="Times New Roman"/>
                <w:color w:val="000000"/>
              </w:rPr>
              <w:t>：</w:t>
            </w:r>
            <w:r>
              <w:rPr>
                <w:rFonts w:ascii="Times New Roman" w:hAnsi="Times New Roman"/>
                <w:color w:val="000000"/>
                <w:u w:val="single"/>
              </w:rPr>
              <w:t xml:space="preserve">       </w:t>
            </w:r>
            <w:r>
              <w:rPr>
                <w:rFonts w:ascii="Times New Roman" w:hAnsi="Times New Roman"/>
                <w:color w:val="000000"/>
              </w:rPr>
              <w:t>分</w:t>
            </w:r>
          </w:p>
          <w:p w14:paraId="53E27419">
            <w:pPr>
              <w:spacing w:line="440" w:lineRule="exact"/>
              <w:rPr>
                <w:rFonts w:ascii="Times New Roman" w:hAnsi="Times New Roman"/>
                <w:color w:val="000000"/>
              </w:rPr>
            </w:pPr>
            <w:r>
              <w:rPr>
                <w:rFonts w:hint="eastAsia" w:ascii="Times New Roman" w:hAnsi="Times New Roman"/>
                <w:color w:val="000000"/>
                <w:lang w:val="en-US" w:eastAsia="zh-CN"/>
              </w:rPr>
              <w:t>技术标</w:t>
            </w:r>
            <w:r>
              <w:rPr>
                <w:rFonts w:ascii="Times New Roman" w:hAnsi="Times New Roman"/>
                <w:color w:val="000000"/>
              </w:rPr>
              <w:t>：</w:t>
            </w:r>
            <w:r>
              <w:rPr>
                <w:rFonts w:ascii="Times New Roman" w:hAnsi="Times New Roman"/>
                <w:color w:val="000000"/>
                <w:u w:val="single"/>
              </w:rPr>
              <w:t xml:space="preserve">       </w:t>
            </w:r>
            <w:r>
              <w:rPr>
                <w:rFonts w:ascii="Times New Roman" w:hAnsi="Times New Roman"/>
                <w:color w:val="000000"/>
              </w:rPr>
              <w:t>分</w:t>
            </w:r>
          </w:p>
          <w:p w14:paraId="2CD05D64">
            <w:pPr>
              <w:spacing w:line="440" w:lineRule="exact"/>
              <w:rPr>
                <w:rFonts w:ascii="Times New Roman" w:hAnsi="Times New Roman"/>
                <w:color w:val="000000"/>
              </w:rPr>
            </w:pPr>
            <w:r>
              <w:rPr>
                <w:rFonts w:hint="eastAsia" w:ascii="Times New Roman" w:hAnsi="Times New Roman"/>
                <w:color w:val="000000"/>
                <w:lang w:val="en-US" w:eastAsia="zh-CN"/>
              </w:rPr>
              <w:t>经济标</w:t>
            </w:r>
            <w:r>
              <w:rPr>
                <w:rFonts w:ascii="Times New Roman" w:hAnsi="Times New Roman"/>
                <w:color w:val="000000"/>
              </w:rPr>
              <w:t>：</w:t>
            </w:r>
            <w:r>
              <w:rPr>
                <w:rFonts w:ascii="Times New Roman" w:hAnsi="Times New Roman"/>
                <w:color w:val="000000"/>
                <w:u w:val="single"/>
              </w:rPr>
              <w:t xml:space="preserve">       </w:t>
            </w:r>
            <w:r>
              <w:rPr>
                <w:rFonts w:ascii="Times New Roman" w:hAnsi="Times New Roman"/>
                <w:color w:val="000000"/>
              </w:rPr>
              <w:t>分</w:t>
            </w:r>
          </w:p>
          <w:p w14:paraId="6BBF21A1">
            <w:pPr>
              <w:spacing w:line="440" w:lineRule="exact"/>
              <w:rPr>
                <w:rFonts w:ascii="Times New Roman" w:hAnsi="Times New Roman"/>
                <w:color w:val="000000"/>
              </w:rPr>
            </w:pPr>
            <w:r>
              <w:rPr>
                <w:rFonts w:ascii="Times New Roman" w:hAnsi="Times New Roman"/>
                <w:color w:val="000000"/>
              </w:rPr>
              <w:t>其他</w:t>
            </w:r>
            <w:r>
              <w:rPr>
                <w:rFonts w:hint="eastAsia" w:ascii="Times New Roman" w:hAnsi="Times New Roman"/>
                <w:color w:val="000000"/>
                <w:lang w:val="en-US" w:eastAsia="zh-CN"/>
              </w:rPr>
              <w:t>标</w:t>
            </w:r>
            <w:r>
              <w:rPr>
                <w:rFonts w:ascii="Times New Roman" w:hAnsi="Times New Roman"/>
                <w:color w:val="000000"/>
              </w:rPr>
              <w:t>：</w:t>
            </w:r>
            <w:r>
              <w:rPr>
                <w:rFonts w:ascii="Times New Roman" w:hAnsi="Times New Roman"/>
                <w:color w:val="000000"/>
                <w:u w:val="single"/>
              </w:rPr>
              <w:t xml:space="preserve">       </w:t>
            </w:r>
            <w:r>
              <w:rPr>
                <w:rFonts w:ascii="Times New Roman" w:hAnsi="Times New Roman"/>
                <w:color w:val="000000"/>
              </w:rPr>
              <w:t>分</w:t>
            </w:r>
          </w:p>
          <w:p w14:paraId="7CB3ED62">
            <w:pPr>
              <w:spacing w:line="440" w:lineRule="exact"/>
              <w:rPr>
                <w:rFonts w:ascii="Times New Roman" w:hAnsi="Times New Roman"/>
                <w:color w:val="000000"/>
              </w:rPr>
            </w:pPr>
            <w:r>
              <w:rPr>
                <w:rFonts w:hint="eastAsia" w:ascii="宋体" w:hAnsi="宋体"/>
                <w:b/>
                <w:bCs/>
                <w:szCs w:val="21"/>
                <w:lang w:val="en-US" w:eastAsia="zh-CN"/>
              </w:rPr>
              <w:t>评标办法分值构成需按照现行有效的政策文件进行执行</w:t>
            </w:r>
            <w:r>
              <w:rPr>
                <w:rFonts w:hint="eastAsia" w:ascii="宋体" w:hAnsi="宋体"/>
                <w:b/>
                <w:bCs/>
                <w:szCs w:val="21"/>
              </w:rPr>
              <w:t>。</w:t>
            </w:r>
          </w:p>
        </w:tc>
      </w:tr>
      <w:tr w14:paraId="06D060E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024" w:type="dxa"/>
            <w:gridSpan w:val="2"/>
            <w:tcBorders>
              <w:top w:val="single" w:color="auto" w:sz="4" w:space="0"/>
              <w:bottom w:val="single" w:color="auto" w:sz="4" w:space="0"/>
              <w:right w:val="single" w:color="auto" w:sz="4" w:space="0"/>
            </w:tcBorders>
            <w:vAlign w:val="center"/>
          </w:tcPr>
          <w:p w14:paraId="4625321E">
            <w:pPr>
              <w:spacing w:line="440" w:lineRule="exact"/>
              <w:jc w:val="center"/>
              <w:rPr>
                <w:rFonts w:ascii="Times New Roman" w:hAnsi="Times New Roman"/>
                <w:color w:val="000000"/>
              </w:rPr>
            </w:pPr>
            <w:r>
              <w:rPr>
                <w:rFonts w:ascii="Times New Roman" w:hAnsi="Times New Roman"/>
                <w:color w:val="000000"/>
              </w:rPr>
              <w:t>2.2.2</w:t>
            </w:r>
          </w:p>
        </w:tc>
        <w:tc>
          <w:tcPr>
            <w:tcW w:w="2476" w:type="dxa"/>
            <w:tcBorders>
              <w:top w:val="single" w:color="auto" w:sz="4" w:space="0"/>
              <w:left w:val="single" w:color="auto" w:sz="4" w:space="0"/>
              <w:bottom w:val="single" w:color="auto" w:sz="4" w:space="0"/>
              <w:right w:val="single" w:color="auto" w:sz="4" w:space="0"/>
            </w:tcBorders>
            <w:vAlign w:val="center"/>
          </w:tcPr>
          <w:p w14:paraId="41132245">
            <w:pPr>
              <w:spacing w:line="440" w:lineRule="exact"/>
              <w:jc w:val="left"/>
              <w:rPr>
                <w:rFonts w:ascii="Times New Roman" w:hAnsi="Times New Roman"/>
                <w:color w:val="000000"/>
              </w:rPr>
            </w:pPr>
            <w:r>
              <w:rPr>
                <w:rFonts w:ascii="Times New Roman" w:hAnsi="Times New Roman"/>
                <w:color w:val="000000"/>
              </w:rPr>
              <w:t>评标基准价计算方法</w:t>
            </w:r>
          </w:p>
        </w:tc>
        <w:tc>
          <w:tcPr>
            <w:tcW w:w="4680" w:type="dxa"/>
            <w:tcBorders>
              <w:top w:val="single" w:color="auto" w:sz="4" w:space="0"/>
              <w:left w:val="single" w:color="auto" w:sz="4" w:space="0"/>
              <w:bottom w:val="single" w:color="auto" w:sz="4" w:space="0"/>
              <w:right w:val="single" w:color="auto" w:sz="4" w:space="0"/>
            </w:tcBorders>
            <w:vAlign w:val="center"/>
          </w:tcPr>
          <w:p w14:paraId="65010F67">
            <w:pPr>
              <w:spacing w:line="440" w:lineRule="exact"/>
              <w:rPr>
                <w:rFonts w:ascii="Times New Roman" w:hAnsi="Times New Roman"/>
                <w:color w:val="000000"/>
              </w:rPr>
            </w:pPr>
            <w:r>
              <w:rPr>
                <w:rFonts w:hint="eastAsia"/>
                <w:color w:val="000000"/>
                <w:u w:val="single"/>
                <w:lang w:val="en-US" w:eastAsia="zh-CN"/>
              </w:rPr>
              <w:t xml:space="preserve">                  </w:t>
            </w:r>
            <w:r>
              <w:rPr>
                <w:rFonts w:hint="eastAsia"/>
                <w:color w:val="000000"/>
                <w:u w:val="none"/>
                <w:lang w:val="en-US" w:eastAsia="zh-CN"/>
              </w:rPr>
              <w:t>。</w:t>
            </w:r>
          </w:p>
        </w:tc>
      </w:tr>
      <w:tr w14:paraId="40FC9B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2" w:hRule="atLeast"/>
        </w:trPr>
        <w:tc>
          <w:tcPr>
            <w:tcW w:w="2024" w:type="dxa"/>
            <w:gridSpan w:val="2"/>
            <w:tcBorders>
              <w:top w:val="single" w:color="auto" w:sz="4" w:space="0"/>
              <w:bottom w:val="single" w:color="auto" w:sz="4" w:space="0"/>
              <w:right w:val="single" w:color="auto" w:sz="4" w:space="0"/>
            </w:tcBorders>
            <w:vAlign w:val="center"/>
          </w:tcPr>
          <w:p w14:paraId="24717286">
            <w:pPr>
              <w:spacing w:line="440" w:lineRule="exact"/>
              <w:jc w:val="center"/>
              <w:rPr>
                <w:rFonts w:ascii="Times New Roman" w:hAnsi="Times New Roman"/>
                <w:color w:val="000000"/>
              </w:rPr>
            </w:pPr>
            <w:r>
              <w:rPr>
                <w:rFonts w:ascii="Times New Roman" w:hAnsi="Times New Roman"/>
                <w:color w:val="000000"/>
              </w:rPr>
              <w:t>2.2.3</w:t>
            </w:r>
          </w:p>
        </w:tc>
        <w:tc>
          <w:tcPr>
            <w:tcW w:w="2476" w:type="dxa"/>
            <w:tcBorders>
              <w:top w:val="single" w:color="auto" w:sz="4" w:space="0"/>
              <w:left w:val="single" w:color="auto" w:sz="4" w:space="0"/>
              <w:right w:val="single" w:color="auto" w:sz="4" w:space="0"/>
            </w:tcBorders>
            <w:vAlign w:val="center"/>
          </w:tcPr>
          <w:p w14:paraId="30FD2518">
            <w:pPr>
              <w:spacing w:line="440" w:lineRule="exact"/>
              <w:jc w:val="left"/>
              <w:rPr>
                <w:rFonts w:ascii="Times New Roman" w:hAnsi="Times New Roman"/>
                <w:color w:val="000000"/>
              </w:rPr>
            </w:pPr>
            <w:r>
              <w:rPr>
                <w:rFonts w:ascii="Times New Roman" w:hAnsi="Times New Roman"/>
                <w:color w:val="000000"/>
              </w:rPr>
              <w:t>投标报价的偏差率</w:t>
            </w:r>
          </w:p>
          <w:p w14:paraId="09DFE072">
            <w:pPr>
              <w:spacing w:line="440" w:lineRule="exact"/>
              <w:jc w:val="left"/>
              <w:rPr>
                <w:rFonts w:ascii="Times New Roman" w:hAnsi="Times New Roman"/>
                <w:color w:val="000000"/>
              </w:rPr>
            </w:pPr>
            <w:r>
              <w:rPr>
                <w:rFonts w:ascii="Times New Roman" w:hAnsi="Times New Roman"/>
                <w:color w:val="000000"/>
              </w:rPr>
              <w:t>计算公式</w:t>
            </w:r>
          </w:p>
        </w:tc>
        <w:tc>
          <w:tcPr>
            <w:tcW w:w="4680" w:type="dxa"/>
            <w:tcBorders>
              <w:top w:val="single" w:color="auto" w:sz="4" w:space="0"/>
              <w:left w:val="single" w:color="auto" w:sz="4" w:space="0"/>
              <w:right w:val="single" w:color="auto" w:sz="4" w:space="0"/>
            </w:tcBorders>
            <w:vAlign w:val="center"/>
          </w:tcPr>
          <w:p w14:paraId="217D0E90">
            <w:pPr>
              <w:spacing w:line="240" w:lineRule="auto"/>
              <w:rPr>
                <w:rFonts w:hint="eastAsia" w:ascii="宋体" w:hAnsi="宋体"/>
                <w:szCs w:val="21"/>
              </w:rPr>
            </w:pPr>
            <w:r>
              <w:rPr>
                <w:rFonts w:hint="eastAsia" w:ascii="宋体" w:hAnsi="宋体"/>
                <w:szCs w:val="21"/>
              </w:rPr>
              <w:t>偏差率=100%×（投标人报价－评标基准价）</w:t>
            </w:r>
          </w:p>
          <w:p w14:paraId="482A937B">
            <w:pPr>
              <w:spacing w:line="440" w:lineRule="exact"/>
              <w:rPr>
                <w:rFonts w:ascii="Times New Roman" w:hAnsi="Times New Roman"/>
                <w:color w:val="000000"/>
              </w:rPr>
            </w:pPr>
            <w:r>
              <w:rPr>
                <w:rFonts w:hint="eastAsia" w:ascii="宋体" w:hAnsi="宋体"/>
                <w:szCs w:val="21"/>
              </w:rPr>
              <w:t>/评标基准价</w:t>
            </w:r>
          </w:p>
        </w:tc>
      </w:tr>
      <w:tr w14:paraId="04CE190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024" w:type="dxa"/>
            <w:gridSpan w:val="2"/>
            <w:tcBorders>
              <w:top w:val="nil"/>
              <w:bottom w:val="single" w:color="auto" w:sz="4" w:space="0"/>
              <w:right w:val="single" w:color="auto" w:sz="4" w:space="0"/>
            </w:tcBorders>
            <w:vAlign w:val="center"/>
          </w:tcPr>
          <w:p w14:paraId="25251087">
            <w:pPr>
              <w:spacing w:line="440" w:lineRule="exact"/>
              <w:jc w:val="center"/>
              <w:rPr>
                <w:rFonts w:ascii="Times New Roman" w:hAnsi="Times New Roman"/>
                <w:b/>
              </w:rPr>
            </w:pPr>
            <w:r>
              <w:rPr>
                <w:rFonts w:ascii="Times New Roman" w:hAnsi="Times New Roman"/>
                <w:b/>
              </w:rPr>
              <w:t>条款号</w:t>
            </w:r>
          </w:p>
        </w:tc>
        <w:tc>
          <w:tcPr>
            <w:tcW w:w="2476" w:type="dxa"/>
            <w:tcBorders>
              <w:top w:val="single" w:color="auto" w:sz="4" w:space="0"/>
              <w:left w:val="single" w:color="auto" w:sz="4" w:space="0"/>
              <w:bottom w:val="single" w:color="auto" w:sz="4" w:space="0"/>
              <w:right w:val="single" w:color="auto" w:sz="4" w:space="0"/>
            </w:tcBorders>
            <w:vAlign w:val="center"/>
          </w:tcPr>
          <w:p w14:paraId="2DB8B895">
            <w:pPr>
              <w:spacing w:line="440" w:lineRule="exact"/>
              <w:jc w:val="center"/>
              <w:rPr>
                <w:rFonts w:ascii="Times New Roman" w:hAnsi="Times New Roman"/>
                <w:b/>
              </w:rPr>
            </w:pPr>
            <w:r>
              <w:rPr>
                <w:rFonts w:ascii="Times New Roman" w:hAnsi="Times New Roman"/>
                <w:b/>
              </w:rPr>
              <w:t>评分因素</w:t>
            </w:r>
            <w:r>
              <w:rPr>
                <w:rFonts w:hint="eastAsia" w:ascii="Times New Roman" w:hAnsi="Times New Roman"/>
                <w:b/>
              </w:rPr>
              <w:t>（偏差率）</w:t>
            </w:r>
          </w:p>
        </w:tc>
        <w:tc>
          <w:tcPr>
            <w:tcW w:w="4680" w:type="dxa"/>
            <w:tcBorders>
              <w:top w:val="single" w:color="auto" w:sz="4" w:space="0"/>
              <w:left w:val="single" w:color="auto" w:sz="4" w:space="0"/>
              <w:bottom w:val="single" w:color="auto" w:sz="4" w:space="0"/>
              <w:right w:val="single" w:color="auto" w:sz="4" w:space="0"/>
            </w:tcBorders>
            <w:vAlign w:val="center"/>
          </w:tcPr>
          <w:p w14:paraId="4AF7F706">
            <w:pPr>
              <w:spacing w:line="440" w:lineRule="exact"/>
              <w:jc w:val="center"/>
              <w:rPr>
                <w:rFonts w:ascii="Times New Roman" w:hAnsi="Times New Roman"/>
                <w:b/>
              </w:rPr>
            </w:pPr>
            <w:r>
              <w:rPr>
                <w:rFonts w:ascii="Times New Roman" w:hAnsi="Times New Roman"/>
                <w:b/>
              </w:rPr>
              <w:t>评分标准</w:t>
            </w:r>
          </w:p>
        </w:tc>
      </w:tr>
      <w:tr w14:paraId="37AE864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restart"/>
            <w:tcBorders>
              <w:top w:val="single" w:color="auto" w:sz="4" w:space="0"/>
              <w:bottom w:val="single" w:color="auto" w:sz="4" w:space="0"/>
              <w:right w:val="single" w:color="auto" w:sz="4" w:space="0"/>
            </w:tcBorders>
            <w:vAlign w:val="center"/>
          </w:tcPr>
          <w:p w14:paraId="5C4CCEE9">
            <w:pPr>
              <w:spacing w:line="440" w:lineRule="exact"/>
              <w:jc w:val="center"/>
              <w:rPr>
                <w:rFonts w:ascii="Times New Roman" w:hAnsi="Times New Roman"/>
              </w:rPr>
            </w:pPr>
            <w:r>
              <w:rPr>
                <w:rFonts w:ascii="Times New Roman" w:hAnsi="Times New Roman"/>
              </w:rPr>
              <w:t>2.2.4（1）</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14:paraId="36BA197E">
            <w:pPr>
              <w:spacing w:line="440" w:lineRule="exact"/>
              <w:jc w:val="center"/>
              <w:rPr>
                <w:rFonts w:ascii="Times New Roman" w:hAnsi="Times New Roman"/>
              </w:rPr>
            </w:pPr>
            <w:r>
              <w:rPr>
                <w:rFonts w:hint="eastAsia" w:ascii="Times New Roman" w:hAnsi="Times New Roman"/>
                <w:lang w:val="en-US" w:eastAsia="zh-CN"/>
              </w:rPr>
              <w:t>综合标</w:t>
            </w:r>
            <w:r>
              <w:rPr>
                <w:rFonts w:ascii="Times New Roman" w:hAnsi="Times New Roman"/>
              </w:rPr>
              <w:t>评分标准</w:t>
            </w:r>
          </w:p>
        </w:tc>
        <w:tc>
          <w:tcPr>
            <w:tcW w:w="2476" w:type="dxa"/>
            <w:tcBorders>
              <w:top w:val="single" w:color="auto" w:sz="4" w:space="0"/>
              <w:left w:val="single" w:color="auto" w:sz="4" w:space="0"/>
              <w:bottom w:val="single" w:color="auto" w:sz="4" w:space="0"/>
              <w:right w:val="single" w:color="auto" w:sz="4" w:space="0"/>
            </w:tcBorders>
            <w:vAlign w:val="center"/>
          </w:tcPr>
          <w:p w14:paraId="5CB54BAC">
            <w:pPr>
              <w:widowControl/>
              <w:jc w:val="left"/>
              <w:rPr>
                <w:rFonts w:ascii="Times New Roman" w:hAnsi="Times New Roman"/>
              </w:rPr>
            </w:pPr>
            <w:r>
              <w:rPr>
                <w:rFonts w:ascii="Times New Roman" w:hAnsi="Times New Roman"/>
              </w:rPr>
              <w:t>对投标人</w:t>
            </w:r>
            <w:r>
              <w:rPr>
                <w:rFonts w:ascii="Times New Roman" w:hAnsi="Times New Roman"/>
                <w:color w:val="000000"/>
              </w:rPr>
              <w:t>履约能力的评价</w:t>
            </w:r>
            <w:bookmarkStart w:id="293" w:name="_Toc152042363"/>
            <w:bookmarkStart w:id="294" w:name="_Toc247527611"/>
            <w:bookmarkStart w:id="295" w:name="_Toc369531576"/>
            <w:bookmarkStart w:id="296" w:name="_Toc352691532"/>
            <w:bookmarkStart w:id="297" w:name="_Toc152045586"/>
            <w:bookmarkStart w:id="298" w:name="_Toc144974553"/>
            <w:bookmarkStart w:id="299" w:name="_Toc247514010"/>
            <w:bookmarkStart w:id="300" w:name="_Toc361508645"/>
            <w:bookmarkStart w:id="301" w:name="_Toc300835007"/>
            <w:bookmarkStart w:id="302" w:name="_Toc384308271"/>
            <w:bookmarkStart w:id="303" w:name="_Toc12369"/>
          </w:p>
        </w:tc>
        <w:tc>
          <w:tcPr>
            <w:tcW w:w="4680" w:type="dxa"/>
            <w:tcBorders>
              <w:top w:val="single" w:color="auto" w:sz="4" w:space="0"/>
              <w:left w:val="single" w:color="auto" w:sz="4" w:space="0"/>
              <w:bottom w:val="single" w:color="auto" w:sz="4" w:space="0"/>
              <w:right w:val="single" w:color="auto" w:sz="4" w:space="0"/>
            </w:tcBorders>
            <w:vAlign w:val="center"/>
          </w:tcPr>
          <w:p w14:paraId="18A0A7D3">
            <w:pPr>
              <w:spacing w:line="440" w:lineRule="exact"/>
              <w:jc w:val="center"/>
              <w:rPr>
                <w:rFonts w:ascii="Times New Roman" w:hAnsi="Times New Roman"/>
              </w:rPr>
            </w:pPr>
            <w:r>
              <w:rPr>
                <w:rFonts w:ascii="Times New Roman" w:hAnsi="Times New Roman"/>
              </w:rPr>
              <w:t>……</w:t>
            </w:r>
          </w:p>
        </w:tc>
      </w:tr>
      <w:bookmarkEnd w:id="293"/>
      <w:bookmarkEnd w:id="294"/>
      <w:bookmarkEnd w:id="295"/>
      <w:bookmarkEnd w:id="296"/>
      <w:bookmarkEnd w:id="297"/>
      <w:bookmarkEnd w:id="298"/>
      <w:bookmarkEnd w:id="299"/>
      <w:bookmarkEnd w:id="300"/>
      <w:bookmarkEnd w:id="301"/>
      <w:bookmarkEnd w:id="302"/>
      <w:bookmarkEnd w:id="303"/>
      <w:tr w14:paraId="1CC806E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tcPr>
          <w:p w14:paraId="7459141A">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tcPr>
          <w:p w14:paraId="4AB119B5">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vAlign w:val="center"/>
          </w:tcPr>
          <w:p w14:paraId="5E601324">
            <w:pPr>
              <w:widowControl/>
              <w:jc w:val="left"/>
              <w:rPr>
                <w:rFonts w:ascii="Times New Roman" w:hAnsi="Times New Roman"/>
              </w:rPr>
            </w:pPr>
            <w:r>
              <w:rPr>
                <w:rFonts w:ascii="Times New Roman" w:hAnsi="Times New Roman"/>
              </w:rPr>
              <w:t>对招标文件商务条款的响应程度</w:t>
            </w:r>
          </w:p>
        </w:tc>
        <w:tc>
          <w:tcPr>
            <w:tcW w:w="4680" w:type="dxa"/>
            <w:tcBorders>
              <w:top w:val="single" w:color="auto" w:sz="4" w:space="0"/>
              <w:left w:val="single" w:color="auto" w:sz="4" w:space="0"/>
              <w:bottom w:val="single" w:color="auto" w:sz="4" w:space="0"/>
              <w:right w:val="single" w:color="auto" w:sz="4" w:space="0"/>
            </w:tcBorders>
            <w:vAlign w:val="center"/>
          </w:tcPr>
          <w:p w14:paraId="7A5358EB">
            <w:pPr>
              <w:spacing w:line="440" w:lineRule="exact"/>
              <w:jc w:val="center"/>
              <w:rPr>
                <w:rFonts w:ascii="Times New Roman" w:hAnsi="Times New Roman"/>
              </w:rPr>
            </w:pPr>
            <w:r>
              <w:rPr>
                <w:rFonts w:ascii="Times New Roman" w:hAnsi="Times New Roman"/>
              </w:rPr>
              <w:t>……</w:t>
            </w:r>
          </w:p>
        </w:tc>
      </w:tr>
      <w:tr w14:paraId="1562314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80" w:hRule="atLeast"/>
        </w:trPr>
        <w:tc>
          <w:tcPr>
            <w:tcW w:w="900" w:type="dxa"/>
            <w:vMerge w:val="continue"/>
            <w:tcBorders>
              <w:top w:val="single" w:color="auto" w:sz="4" w:space="0"/>
              <w:bottom w:val="single" w:color="auto" w:sz="4" w:space="0"/>
              <w:right w:val="single" w:color="auto" w:sz="4" w:space="0"/>
            </w:tcBorders>
          </w:tcPr>
          <w:p w14:paraId="4F386E62">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tcPr>
          <w:p w14:paraId="01E65C61">
            <w:pPr>
              <w:rPr>
                <w:rFonts w:ascii="Times New Roman" w:hAnsi="Times New Roman"/>
              </w:rPr>
            </w:pPr>
          </w:p>
        </w:tc>
        <w:tc>
          <w:tcPr>
            <w:tcW w:w="2476" w:type="dxa"/>
            <w:tcBorders>
              <w:top w:val="single" w:color="auto" w:sz="4" w:space="0"/>
              <w:left w:val="single" w:color="auto" w:sz="4" w:space="0"/>
              <w:right w:val="single" w:color="auto" w:sz="4" w:space="0"/>
            </w:tcBorders>
            <w:vAlign w:val="center"/>
          </w:tcPr>
          <w:p w14:paraId="72F6B5EA">
            <w:pPr>
              <w:widowControl/>
              <w:jc w:val="left"/>
              <w:rPr>
                <w:rFonts w:ascii="Times New Roman" w:hAnsi="Times New Roman"/>
              </w:rPr>
            </w:pPr>
            <w:r>
              <w:rPr>
                <w:rFonts w:ascii="Times New Roman" w:hAnsi="Times New Roman"/>
                <w:color w:val="000000"/>
              </w:rPr>
              <w:t>投标材料的业绩</w:t>
            </w:r>
          </w:p>
        </w:tc>
        <w:tc>
          <w:tcPr>
            <w:tcW w:w="4680" w:type="dxa"/>
            <w:tcBorders>
              <w:top w:val="single" w:color="auto" w:sz="4" w:space="0"/>
              <w:left w:val="single" w:color="auto" w:sz="4" w:space="0"/>
              <w:right w:val="single" w:color="auto" w:sz="4" w:space="0"/>
            </w:tcBorders>
            <w:vAlign w:val="center"/>
          </w:tcPr>
          <w:p w14:paraId="5E9623E8">
            <w:pPr>
              <w:spacing w:line="440" w:lineRule="exact"/>
              <w:jc w:val="center"/>
              <w:rPr>
                <w:rFonts w:ascii="Times New Roman" w:hAnsi="Times New Roman"/>
              </w:rPr>
            </w:pPr>
            <w:r>
              <w:rPr>
                <w:rFonts w:ascii="Times New Roman" w:hAnsi="Times New Roman"/>
              </w:rPr>
              <w:t>……</w:t>
            </w:r>
          </w:p>
        </w:tc>
      </w:tr>
      <w:tr w14:paraId="1160D42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6" w:hRule="atLeast"/>
        </w:trPr>
        <w:tc>
          <w:tcPr>
            <w:tcW w:w="900" w:type="dxa"/>
            <w:vMerge w:val="restart"/>
            <w:tcBorders>
              <w:top w:val="single" w:color="auto" w:sz="4" w:space="0"/>
              <w:bottom w:val="single" w:color="auto" w:sz="4" w:space="0"/>
              <w:right w:val="single" w:color="auto" w:sz="4" w:space="0"/>
            </w:tcBorders>
            <w:vAlign w:val="center"/>
          </w:tcPr>
          <w:p w14:paraId="1695B473">
            <w:pPr>
              <w:spacing w:line="440" w:lineRule="exact"/>
              <w:jc w:val="center"/>
              <w:rPr>
                <w:rFonts w:ascii="Times New Roman" w:hAnsi="Times New Roman"/>
              </w:rPr>
            </w:pPr>
            <w:r>
              <w:rPr>
                <w:rFonts w:ascii="Times New Roman" w:hAnsi="Times New Roman"/>
              </w:rPr>
              <w:t>2.2.4（2）</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14:paraId="0F93BE79">
            <w:pPr>
              <w:spacing w:line="440" w:lineRule="exact"/>
              <w:jc w:val="center"/>
              <w:rPr>
                <w:rFonts w:ascii="Times New Roman" w:hAnsi="Times New Roman"/>
              </w:rPr>
            </w:pPr>
            <w:r>
              <w:rPr>
                <w:rFonts w:ascii="Times New Roman" w:hAnsi="Times New Roman"/>
              </w:rPr>
              <w:t>技术</w:t>
            </w:r>
            <w:r>
              <w:rPr>
                <w:rFonts w:hint="eastAsia" w:ascii="Times New Roman" w:hAnsi="Times New Roman"/>
                <w:lang w:val="en-US" w:eastAsia="zh-CN"/>
              </w:rPr>
              <w:t>标</w:t>
            </w:r>
            <w:r>
              <w:rPr>
                <w:rFonts w:ascii="Times New Roman" w:hAnsi="Times New Roman"/>
              </w:rPr>
              <w:t>评分标准</w:t>
            </w:r>
          </w:p>
        </w:tc>
        <w:tc>
          <w:tcPr>
            <w:tcW w:w="2476" w:type="dxa"/>
            <w:tcBorders>
              <w:top w:val="single" w:color="auto" w:sz="4" w:space="0"/>
              <w:left w:val="single" w:color="auto" w:sz="4" w:space="0"/>
              <w:bottom w:val="single" w:color="auto" w:sz="4" w:space="0"/>
              <w:right w:val="single" w:color="auto" w:sz="4" w:space="0"/>
            </w:tcBorders>
          </w:tcPr>
          <w:p w14:paraId="61C2C5C7">
            <w:pPr>
              <w:spacing w:line="440" w:lineRule="exact"/>
              <w:jc w:val="left"/>
              <w:rPr>
                <w:rFonts w:ascii="Times New Roman" w:hAnsi="Times New Roman"/>
              </w:rPr>
            </w:pPr>
            <w:r>
              <w:rPr>
                <w:rFonts w:ascii="Times New Roman" w:hAnsi="Times New Roman"/>
                <w:kern w:val="0"/>
              </w:rPr>
              <w:t>对</w:t>
            </w:r>
            <w:r>
              <w:rPr>
                <w:rFonts w:ascii="Times New Roman" w:hAnsi="Times New Roman"/>
              </w:rPr>
              <w:t>投标材料整体</w:t>
            </w:r>
            <w:r>
              <w:rPr>
                <w:rFonts w:ascii="Times New Roman" w:hAnsi="Times New Roman"/>
                <w:kern w:val="0"/>
              </w:rPr>
              <w:t>评价</w:t>
            </w:r>
          </w:p>
        </w:tc>
        <w:tc>
          <w:tcPr>
            <w:tcW w:w="4680" w:type="dxa"/>
            <w:tcBorders>
              <w:top w:val="single" w:color="auto" w:sz="4" w:space="0"/>
              <w:left w:val="single" w:color="auto" w:sz="4" w:space="0"/>
              <w:bottom w:val="single" w:color="auto" w:sz="4" w:space="0"/>
              <w:right w:val="single" w:color="auto" w:sz="4" w:space="0"/>
            </w:tcBorders>
            <w:vAlign w:val="center"/>
          </w:tcPr>
          <w:p w14:paraId="69833B90">
            <w:pPr>
              <w:spacing w:line="440" w:lineRule="exact"/>
              <w:jc w:val="center"/>
              <w:rPr>
                <w:rFonts w:ascii="Times New Roman" w:hAnsi="Times New Roman"/>
              </w:rPr>
            </w:pPr>
            <w:r>
              <w:rPr>
                <w:rFonts w:ascii="Times New Roman" w:hAnsi="Times New Roman"/>
              </w:rPr>
              <w:t>……</w:t>
            </w:r>
          </w:p>
        </w:tc>
      </w:tr>
      <w:tr w14:paraId="43A8697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6" w:hRule="atLeast"/>
        </w:trPr>
        <w:tc>
          <w:tcPr>
            <w:tcW w:w="900" w:type="dxa"/>
            <w:vMerge w:val="continue"/>
            <w:tcBorders>
              <w:top w:val="single" w:color="auto" w:sz="4" w:space="0"/>
              <w:bottom w:val="single" w:color="auto" w:sz="4" w:space="0"/>
              <w:right w:val="single" w:color="auto" w:sz="4" w:space="0"/>
            </w:tcBorders>
            <w:vAlign w:val="center"/>
          </w:tcPr>
          <w:p w14:paraId="002EBD4B">
            <w:pPr>
              <w:rPr>
                <w:rFonts w:ascii="Times New Roman" w:hAnsi="Times New Roman"/>
              </w:rPr>
            </w:pPr>
          </w:p>
        </w:tc>
        <w:tc>
          <w:tcPr>
            <w:tcW w:w="1124" w:type="dxa"/>
            <w:vMerge w:val="continue"/>
            <w:tcBorders>
              <w:top w:val="single" w:color="auto" w:sz="4" w:space="0"/>
              <w:bottom w:val="single" w:color="auto" w:sz="4" w:space="0"/>
              <w:right w:val="single" w:color="auto" w:sz="4" w:space="0"/>
            </w:tcBorders>
          </w:tcPr>
          <w:p w14:paraId="3B63B95C">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tcPr>
          <w:p w14:paraId="72B0E6AB">
            <w:pPr>
              <w:spacing w:line="440" w:lineRule="exact"/>
              <w:jc w:val="left"/>
              <w:rPr>
                <w:rFonts w:ascii="Times New Roman" w:hAnsi="Times New Roman"/>
              </w:rPr>
            </w:pPr>
            <w:r>
              <w:rPr>
                <w:rFonts w:ascii="Times New Roman" w:hAnsi="Times New Roman"/>
                <w:kern w:val="0"/>
              </w:rPr>
              <w:t>投标材料质量标准的响应程度</w:t>
            </w:r>
          </w:p>
        </w:tc>
        <w:tc>
          <w:tcPr>
            <w:tcW w:w="4680" w:type="dxa"/>
            <w:tcBorders>
              <w:top w:val="single" w:color="auto" w:sz="4" w:space="0"/>
              <w:left w:val="single" w:color="auto" w:sz="4" w:space="0"/>
              <w:bottom w:val="single" w:color="auto" w:sz="4" w:space="0"/>
              <w:right w:val="single" w:color="auto" w:sz="4" w:space="0"/>
            </w:tcBorders>
            <w:vAlign w:val="center"/>
          </w:tcPr>
          <w:p w14:paraId="18E86BD0">
            <w:pPr>
              <w:spacing w:line="440" w:lineRule="exact"/>
              <w:jc w:val="center"/>
              <w:rPr>
                <w:rFonts w:ascii="Times New Roman" w:hAnsi="Times New Roman"/>
              </w:rPr>
            </w:pPr>
            <w:r>
              <w:rPr>
                <w:rFonts w:ascii="Times New Roman" w:hAnsi="Times New Roman"/>
              </w:rPr>
              <w:t>……</w:t>
            </w:r>
          </w:p>
        </w:tc>
      </w:tr>
      <w:tr w14:paraId="5B83101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78" w:hRule="atLeast"/>
        </w:trPr>
        <w:tc>
          <w:tcPr>
            <w:tcW w:w="900" w:type="dxa"/>
            <w:vMerge w:val="continue"/>
            <w:tcBorders>
              <w:top w:val="single" w:color="auto" w:sz="4" w:space="0"/>
              <w:bottom w:val="single" w:color="auto" w:sz="4" w:space="0"/>
              <w:right w:val="single" w:color="auto" w:sz="4" w:space="0"/>
            </w:tcBorders>
          </w:tcPr>
          <w:p w14:paraId="17647F92">
            <w:pPr>
              <w:rPr>
                <w:rFonts w:ascii="Times New Roman" w:hAnsi="Times New Roman"/>
              </w:rPr>
            </w:pPr>
          </w:p>
        </w:tc>
        <w:tc>
          <w:tcPr>
            <w:tcW w:w="1124" w:type="dxa"/>
            <w:vMerge w:val="continue"/>
            <w:tcBorders>
              <w:top w:val="single" w:color="auto" w:sz="4" w:space="0"/>
              <w:bottom w:val="single" w:color="auto" w:sz="4" w:space="0"/>
              <w:right w:val="single" w:color="auto" w:sz="4" w:space="0"/>
            </w:tcBorders>
          </w:tcPr>
          <w:p w14:paraId="056CD8D6">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01BC6E7B">
            <w:pPr>
              <w:spacing w:line="440" w:lineRule="exact"/>
              <w:jc w:val="left"/>
              <w:rPr>
                <w:rFonts w:ascii="Times New Roman" w:hAnsi="Times New Roman"/>
              </w:rPr>
            </w:pPr>
            <w:r>
              <w:rPr>
                <w:rFonts w:ascii="Times New Roman" w:hAnsi="Times New Roman"/>
                <w:kern w:val="0"/>
              </w:rPr>
              <w:t>对投标人相关服务能力的评价</w:t>
            </w:r>
          </w:p>
        </w:tc>
        <w:tc>
          <w:tcPr>
            <w:tcW w:w="4680"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7801C344">
            <w:pPr>
              <w:spacing w:line="440" w:lineRule="exact"/>
              <w:jc w:val="center"/>
              <w:rPr>
                <w:rFonts w:ascii="Times New Roman" w:hAnsi="Times New Roman"/>
              </w:rPr>
            </w:pPr>
            <w:r>
              <w:rPr>
                <w:rFonts w:ascii="Times New Roman" w:hAnsi="Times New Roman"/>
              </w:rPr>
              <w:t>……</w:t>
            </w:r>
          </w:p>
        </w:tc>
      </w:tr>
      <w:tr w14:paraId="0F2E144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tcBorders>
              <w:top w:val="single" w:color="auto" w:sz="4" w:space="0"/>
              <w:left w:val="single" w:color="auto" w:sz="4" w:space="0"/>
              <w:bottom w:val="single" w:color="auto" w:sz="4" w:space="0"/>
              <w:right w:val="single" w:color="auto" w:sz="4" w:space="0"/>
            </w:tcBorders>
            <w:vAlign w:val="center"/>
          </w:tcPr>
          <w:p w14:paraId="37162BC1">
            <w:pPr>
              <w:spacing w:line="440" w:lineRule="exact"/>
              <w:jc w:val="center"/>
              <w:rPr>
                <w:rFonts w:ascii="Times New Roman" w:hAnsi="Times New Roman"/>
              </w:rPr>
            </w:pPr>
            <w:r>
              <w:rPr>
                <w:rFonts w:ascii="Times New Roman" w:hAnsi="Times New Roman"/>
              </w:rPr>
              <w:t>2.2.4（3）</w:t>
            </w:r>
          </w:p>
        </w:tc>
        <w:tc>
          <w:tcPr>
            <w:tcW w:w="1124" w:type="dxa"/>
            <w:tcBorders>
              <w:top w:val="single" w:color="auto" w:sz="4" w:space="0"/>
              <w:left w:val="single" w:color="auto" w:sz="4" w:space="0"/>
              <w:bottom w:val="single" w:color="auto" w:sz="4" w:space="0"/>
              <w:right w:val="single" w:color="auto" w:sz="4" w:space="0"/>
            </w:tcBorders>
            <w:vAlign w:val="center"/>
          </w:tcPr>
          <w:p w14:paraId="43FE8602">
            <w:pPr>
              <w:spacing w:line="440" w:lineRule="exact"/>
              <w:jc w:val="center"/>
              <w:rPr>
                <w:rFonts w:ascii="Times New Roman" w:hAnsi="Times New Roman"/>
              </w:rPr>
            </w:pPr>
            <w:r>
              <w:rPr>
                <w:rFonts w:hint="eastAsia" w:ascii="Times New Roman" w:hAnsi="Times New Roman"/>
                <w:lang w:val="en-US" w:eastAsia="zh-CN"/>
              </w:rPr>
              <w:t>经济标</w:t>
            </w:r>
            <w:r>
              <w:rPr>
                <w:rFonts w:ascii="Times New Roman" w:hAnsi="Times New Roman"/>
              </w:rPr>
              <w:t>评分标准</w:t>
            </w:r>
          </w:p>
        </w:tc>
        <w:tc>
          <w:tcPr>
            <w:tcW w:w="2476" w:type="dxa"/>
            <w:tcBorders>
              <w:top w:val="single" w:color="auto" w:sz="4" w:space="0"/>
              <w:left w:val="single" w:color="auto" w:sz="4" w:space="0"/>
              <w:bottom w:val="single" w:color="auto" w:sz="4" w:space="0"/>
              <w:right w:val="single" w:color="auto" w:sz="4" w:space="0"/>
            </w:tcBorders>
            <w:vAlign w:val="center"/>
          </w:tcPr>
          <w:p w14:paraId="72C86DCD">
            <w:pPr>
              <w:spacing w:line="420" w:lineRule="atLeast"/>
              <w:jc w:val="left"/>
              <w:rPr>
                <w:rFonts w:ascii="Times New Roman" w:hAnsi="Times New Roman"/>
              </w:rPr>
            </w:pPr>
            <w:r>
              <w:rPr>
                <w:rFonts w:ascii="Times New Roman" w:hAnsi="Times New Roman"/>
              </w:rPr>
              <w:t>偏差率</w:t>
            </w:r>
          </w:p>
        </w:tc>
        <w:tc>
          <w:tcPr>
            <w:tcW w:w="4680" w:type="dxa"/>
            <w:tcBorders>
              <w:top w:val="single" w:color="auto" w:sz="4" w:space="0"/>
              <w:left w:val="single" w:color="auto" w:sz="4" w:space="0"/>
              <w:bottom w:val="single" w:color="auto" w:sz="4" w:space="0"/>
              <w:right w:val="single" w:color="auto" w:sz="4" w:space="0"/>
            </w:tcBorders>
          </w:tcPr>
          <w:p w14:paraId="1F0187B4">
            <w:pPr>
              <w:spacing w:line="440" w:lineRule="exact"/>
              <w:jc w:val="center"/>
              <w:rPr>
                <w:rFonts w:ascii="Times New Roman" w:hAnsi="Times New Roman"/>
              </w:rPr>
            </w:pPr>
            <w:r>
              <w:rPr>
                <w:rFonts w:ascii="Times New Roman" w:hAnsi="Times New Roman"/>
              </w:rPr>
              <w:t>……</w:t>
            </w:r>
          </w:p>
        </w:tc>
      </w:tr>
      <w:tr w14:paraId="6EF5FAE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09" w:hRule="atLeast"/>
        </w:trPr>
        <w:tc>
          <w:tcPr>
            <w:tcW w:w="900" w:type="dxa"/>
            <w:tcBorders>
              <w:top w:val="single" w:color="auto" w:sz="4" w:space="0"/>
              <w:left w:val="single" w:color="auto" w:sz="4" w:space="0"/>
              <w:bottom w:val="single" w:color="auto" w:sz="4" w:space="0"/>
              <w:right w:val="single" w:color="auto" w:sz="4" w:space="0"/>
            </w:tcBorders>
          </w:tcPr>
          <w:p w14:paraId="5CE5D3A0">
            <w:pPr>
              <w:spacing w:line="440" w:lineRule="exact"/>
              <w:jc w:val="center"/>
              <w:rPr>
                <w:rFonts w:ascii="Times New Roman" w:hAnsi="Times New Roman"/>
                <w:color w:val="000000"/>
              </w:rPr>
            </w:pPr>
            <w:r>
              <w:rPr>
                <w:rFonts w:ascii="Times New Roman" w:hAnsi="Times New Roman"/>
                <w:color w:val="000000"/>
              </w:rPr>
              <w:t>2.2.4（4）</w:t>
            </w:r>
          </w:p>
        </w:tc>
        <w:tc>
          <w:tcPr>
            <w:tcW w:w="1124" w:type="dxa"/>
            <w:tcBorders>
              <w:top w:val="single" w:color="auto" w:sz="4" w:space="0"/>
              <w:left w:val="single" w:color="auto" w:sz="4" w:space="0"/>
              <w:bottom w:val="single" w:color="auto" w:sz="4" w:space="0"/>
              <w:right w:val="single" w:color="auto" w:sz="4" w:space="0"/>
            </w:tcBorders>
          </w:tcPr>
          <w:p w14:paraId="4A8B3947">
            <w:pPr>
              <w:spacing w:line="440" w:lineRule="exact"/>
              <w:jc w:val="center"/>
              <w:rPr>
                <w:rFonts w:ascii="Times New Roman" w:hAnsi="Times New Roman"/>
                <w:color w:val="000000"/>
              </w:rPr>
            </w:pPr>
            <w:r>
              <w:rPr>
                <w:rFonts w:ascii="Times New Roman" w:hAnsi="Times New Roman"/>
                <w:color w:val="000000"/>
              </w:rPr>
              <w:t>其他</w:t>
            </w:r>
            <w:r>
              <w:rPr>
                <w:rFonts w:hint="eastAsia" w:ascii="Times New Roman" w:hAnsi="Times New Roman"/>
                <w:color w:val="000000"/>
                <w:lang w:val="en-US" w:eastAsia="zh-CN"/>
              </w:rPr>
              <w:t>标</w:t>
            </w:r>
            <w:r>
              <w:rPr>
                <w:rFonts w:ascii="Times New Roman" w:hAnsi="Times New Roman"/>
                <w:color w:val="000000"/>
              </w:rPr>
              <w:t>评分标准</w:t>
            </w:r>
          </w:p>
        </w:tc>
        <w:tc>
          <w:tcPr>
            <w:tcW w:w="2476" w:type="dxa"/>
            <w:tcBorders>
              <w:top w:val="single" w:color="auto" w:sz="4" w:space="0"/>
              <w:left w:val="single" w:color="auto" w:sz="4" w:space="0"/>
              <w:bottom w:val="single" w:color="auto" w:sz="4" w:space="0"/>
              <w:right w:val="single" w:color="auto" w:sz="4" w:space="0"/>
            </w:tcBorders>
            <w:vAlign w:val="center"/>
          </w:tcPr>
          <w:p w14:paraId="30456E78">
            <w:pPr>
              <w:spacing w:line="240" w:lineRule="auto"/>
              <w:jc w:val="both"/>
              <w:rPr>
                <w:rFonts w:ascii="Times New Roman" w:hAnsi="Times New Roman"/>
                <w:color w:val="000000"/>
              </w:rPr>
            </w:pPr>
            <w:r>
              <w:rPr>
                <w:rFonts w:hint="eastAsia" w:ascii="宋体" w:hAnsi="宋体"/>
                <w:szCs w:val="21"/>
                <w:lang w:val="en-US" w:eastAsia="zh-CN"/>
              </w:rPr>
              <w:t>投标单位加分</w:t>
            </w:r>
          </w:p>
        </w:tc>
        <w:tc>
          <w:tcPr>
            <w:tcW w:w="4680" w:type="dxa"/>
            <w:tcBorders>
              <w:top w:val="single" w:color="auto" w:sz="4" w:space="0"/>
              <w:left w:val="single" w:color="auto" w:sz="4" w:space="0"/>
              <w:bottom w:val="single" w:color="auto" w:sz="4" w:space="0"/>
              <w:right w:val="single" w:color="auto" w:sz="4" w:space="0"/>
            </w:tcBorders>
            <w:vAlign w:val="center"/>
          </w:tcPr>
          <w:p w14:paraId="35D9D4F3">
            <w:pPr>
              <w:spacing w:line="240" w:lineRule="auto"/>
              <w:jc w:val="center"/>
              <w:rPr>
                <w:rFonts w:ascii="Times New Roman" w:hAnsi="Times New Roman"/>
                <w:color w:val="000000"/>
              </w:rPr>
            </w:pPr>
            <w:r>
              <w:rPr>
                <w:rFonts w:hint="eastAsia" w:ascii="宋体" w:hAnsi="宋体"/>
                <w:szCs w:val="21"/>
                <w:lang w:val="en-US" w:eastAsia="zh-CN"/>
              </w:rPr>
              <w:t>按照现行有效政策文件进行加分</w:t>
            </w:r>
          </w:p>
        </w:tc>
      </w:tr>
    </w:tbl>
    <w:p w14:paraId="31FCAF69">
      <w:pPr>
        <w:spacing w:line="400" w:lineRule="exact"/>
        <w:rPr>
          <w:rFonts w:ascii="Times New Roman" w:hAnsi="Times New Roman"/>
          <w:color w:val="000000"/>
        </w:rPr>
      </w:pPr>
      <w:r>
        <w:rPr>
          <w:rFonts w:ascii="Times New Roman" w:hAnsi="Times New Roman"/>
          <w:color w:val="000000"/>
        </w:rPr>
        <w:br w:type="page"/>
      </w:r>
    </w:p>
    <w:p w14:paraId="7C312845">
      <w:pPr>
        <w:pStyle w:val="3"/>
        <w:rPr>
          <w:rFonts w:ascii="Times New Roman" w:hAnsi="Times New Roman"/>
          <w:color w:val="000000"/>
        </w:rPr>
      </w:pPr>
      <w:bookmarkStart w:id="304" w:name="_Toc25453"/>
      <w:r>
        <w:rPr>
          <w:rFonts w:ascii="Times New Roman" w:hAnsi="Times New Roman"/>
          <w:color w:val="000000"/>
        </w:rPr>
        <w:t>1. 评标方法</w:t>
      </w:r>
      <w:bookmarkEnd w:id="304"/>
    </w:p>
    <w:p w14:paraId="4490D05A">
      <w:pPr>
        <w:spacing w:line="360" w:lineRule="auto"/>
        <w:ind w:firstLine="420" w:firstLineChars="200"/>
        <w:rPr>
          <w:rFonts w:ascii="Times New Roman" w:hAnsi="Times New Roman"/>
          <w:color w:val="000000"/>
        </w:rPr>
      </w:pPr>
      <w:r>
        <w:rPr>
          <w:rFonts w:ascii="Times New Roman" w:hAnsi="Times New Roman"/>
          <w:color w:val="000000"/>
        </w:rPr>
        <w:t>本次评标采用综合评估法。评标委员会对满足招标文件实质性要求的投标文件，按照本章第2.2款规定的评分标准进行打分，并按得分由高到低顺序推荐中标候选人，但投标报价低于其成本的除</w:t>
      </w:r>
      <w:bookmarkStart w:id="305" w:name="_Toc300835008"/>
      <w:bookmarkStart w:id="306" w:name="_Toc152042375"/>
      <w:bookmarkStart w:id="307" w:name="_Toc247514022"/>
      <w:bookmarkStart w:id="308" w:name="_Toc361508646"/>
      <w:bookmarkStart w:id="309" w:name="_Toc152045598"/>
      <w:bookmarkStart w:id="310" w:name="_Toc384308272"/>
      <w:bookmarkStart w:id="311" w:name="_Toc247527623"/>
      <w:bookmarkStart w:id="312" w:name="_Toc144974565"/>
      <w:bookmarkStart w:id="313" w:name="_Toc352691533"/>
      <w:bookmarkStart w:id="314" w:name="_Toc369531577"/>
      <w:bookmarkStart w:id="315" w:name="_Toc4497"/>
      <w:r>
        <w:rPr>
          <w:rFonts w:ascii="Times New Roman" w:hAnsi="Times New Roman"/>
          <w:color w:val="000000"/>
        </w:rPr>
        <w:t>外。综合评分相等</w:t>
      </w:r>
      <w:bookmarkEnd w:id="305"/>
      <w:bookmarkEnd w:id="306"/>
      <w:bookmarkEnd w:id="307"/>
      <w:bookmarkEnd w:id="308"/>
      <w:bookmarkEnd w:id="309"/>
      <w:bookmarkEnd w:id="310"/>
      <w:bookmarkEnd w:id="311"/>
      <w:bookmarkEnd w:id="312"/>
      <w:r>
        <w:rPr>
          <w:rFonts w:ascii="Times New Roman" w:hAnsi="Times New Roman"/>
          <w:color w:val="000000"/>
        </w:rPr>
        <w:t>时，以投标报价低的</w:t>
      </w:r>
      <w:bookmarkEnd w:id="313"/>
      <w:bookmarkEnd w:id="314"/>
      <w:bookmarkEnd w:id="315"/>
      <w:r>
        <w:rPr>
          <w:rFonts w:ascii="Times New Roman" w:hAnsi="Times New Roman"/>
          <w:color w:val="000000"/>
        </w:rPr>
        <w:t>优</w:t>
      </w:r>
      <w:bookmarkStart w:id="316" w:name="_Toc369531578"/>
      <w:bookmarkStart w:id="317" w:name="_Toc247527624"/>
      <w:bookmarkStart w:id="318" w:name="_Toc152045599"/>
      <w:bookmarkStart w:id="319" w:name="_Toc144974566"/>
      <w:bookmarkStart w:id="320" w:name="_Toc152042376"/>
      <w:bookmarkStart w:id="321" w:name="_Toc247514023"/>
      <w:bookmarkStart w:id="322" w:name="_Toc39"/>
      <w:bookmarkStart w:id="323" w:name="_Toc361508647"/>
      <w:bookmarkStart w:id="324" w:name="_Toc384308273"/>
      <w:bookmarkStart w:id="325" w:name="_Toc300835009"/>
      <w:bookmarkStart w:id="326" w:name="_Toc352691534"/>
      <w:r>
        <w:rPr>
          <w:rFonts w:ascii="Times New Roman" w:hAnsi="Times New Roman"/>
          <w:color w:val="000000"/>
        </w:rPr>
        <w:t>先；投标报价也相等</w:t>
      </w:r>
      <w:bookmarkEnd w:id="316"/>
      <w:bookmarkEnd w:id="317"/>
      <w:bookmarkEnd w:id="318"/>
      <w:bookmarkEnd w:id="319"/>
      <w:bookmarkEnd w:id="320"/>
      <w:bookmarkEnd w:id="321"/>
      <w:bookmarkEnd w:id="322"/>
      <w:bookmarkEnd w:id="323"/>
      <w:bookmarkEnd w:id="324"/>
      <w:bookmarkEnd w:id="325"/>
      <w:bookmarkEnd w:id="326"/>
      <w:r>
        <w:rPr>
          <w:rFonts w:ascii="Times New Roman" w:hAnsi="Times New Roman"/>
          <w:color w:val="000000"/>
        </w:rPr>
        <w:t>的</w:t>
      </w:r>
      <w:r>
        <w:rPr>
          <w:rFonts w:hint="eastAsia" w:ascii="Times New Roman" w:hAnsi="Times New Roman"/>
          <w:color w:val="000000"/>
        </w:rPr>
        <w:t>，以</w:t>
      </w:r>
      <w:r>
        <w:rPr>
          <w:rFonts w:ascii="Times New Roman" w:hAnsi="Times New Roman"/>
          <w:color w:val="000000"/>
        </w:rPr>
        <w:t>技术得分高的优先</w:t>
      </w:r>
      <w:r>
        <w:rPr>
          <w:rFonts w:hint="eastAsia" w:ascii="Times New Roman" w:hAnsi="Times New Roman"/>
          <w:color w:val="000000"/>
        </w:rPr>
        <w:t>；</w:t>
      </w:r>
      <w:r>
        <w:rPr>
          <w:rFonts w:ascii="Times New Roman" w:hAnsi="Times New Roman"/>
          <w:color w:val="000000"/>
        </w:rPr>
        <w:t>如果技术得分也相</w:t>
      </w:r>
      <w:r>
        <w:rPr>
          <w:rFonts w:hint="eastAsia" w:ascii="Times New Roman" w:hAnsi="Times New Roman"/>
          <w:color w:val="000000"/>
        </w:rPr>
        <w:t>等</w:t>
      </w:r>
      <w:r>
        <w:rPr>
          <w:rFonts w:ascii="Times New Roman" w:hAnsi="Times New Roman"/>
          <w:color w:val="000000"/>
        </w:rPr>
        <w:t>，按照评标办法前附表的规定确定中标候选人顺序。</w:t>
      </w:r>
    </w:p>
    <w:p w14:paraId="75E67F59">
      <w:pPr>
        <w:pStyle w:val="3"/>
        <w:rPr>
          <w:rFonts w:ascii="Times New Roman" w:hAnsi="Times New Roman"/>
          <w:color w:val="000000"/>
        </w:rPr>
      </w:pPr>
      <w:bookmarkStart w:id="327" w:name="_Toc25061"/>
      <w:r>
        <w:rPr>
          <w:rFonts w:ascii="Times New Roman" w:hAnsi="Times New Roman"/>
          <w:color w:val="000000"/>
        </w:rPr>
        <w:t>2. 评审标准</w:t>
      </w:r>
      <w:bookmarkEnd w:id="327"/>
    </w:p>
    <w:p w14:paraId="2F72F819">
      <w:pPr>
        <w:pStyle w:val="4"/>
        <w:spacing w:line="240" w:lineRule="auto"/>
        <w:ind w:firstLine="137"/>
        <w:rPr>
          <w:rFonts w:ascii="Times New Roman" w:hAnsi="Times New Roman"/>
          <w:color w:val="000000"/>
        </w:rPr>
      </w:pPr>
      <w:bookmarkStart w:id="328" w:name="_Toc12501"/>
      <w:r>
        <w:rPr>
          <w:rFonts w:ascii="Times New Roman" w:hAnsi="Times New Roman"/>
          <w:color w:val="000000"/>
        </w:rPr>
        <w:t>2.1 初步评审标准</w:t>
      </w:r>
      <w:bookmarkEnd w:id="328"/>
    </w:p>
    <w:p w14:paraId="16080B84">
      <w:pPr>
        <w:spacing w:line="400" w:lineRule="exact"/>
        <w:ind w:firstLine="420" w:firstLineChars="200"/>
        <w:rPr>
          <w:rFonts w:ascii="Times New Roman" w:hAnsi="Times New Roman"/>
          <w:color w:val="000000"/>
        </w:rPr>
      </w:pPr>
      <w:r>
        <w:rPr>
          <w:rFonts w:ascii="Times New Roman" w:hAnsi="Times New Roman"/>
          <w:color w:val="000000"/>
        </w:rPr>
        <w:t>2.1.1 形式评审标准：见评标办法前附表。</w:t>
      </w:r>
    </w:p>
    <w:p w14:paraId="2991F2EA">
      <w:pPr>
        <w:spacing w:line="400" w:lineRule="exact"/>
        <w:ind w:firstLine="420" w:firstLineChars="200"/>
        <w:rPr>
          <w:rFonts w:ascii="Times New Roman" w:hAnsi="Times New Roman"/>
          <w:color w:val="000000"/>
        </w:rPr>
      </w:pPr>
      <w:r>
        <w:rPr>
          <w:rFonts w:ascii="Times New Roman" w:hAnsi="Times New Roman"/>
          <w:color w:val="000000"/>
        </w:rPr>
        <w:t>2.1.2 资格评审标准：见评标办法前附表。</w:t>
      </w:r>
    </w:p>
    <w:p w14:paraId="455304FA">
      <w:pPr>
        <w:spacing w:line="400" w:lineRule="exact"/>
        <w:ind w:firstLine="420" w:firstLineChars="200"/>
        <w:rPr>
          <w:rFonts w:ascii="Times New Roman" w:hAnsi="Times New Roman"/>
          <w:color w:val="000000"/>
        </w:rPr>
      </w:pPr>
      <w:r>
        <w:rPr>
          <w:rFonts w:ascii="Times New Roman" w:hAnsi="Times New Roman"/>
          <w:color w:val="000000"/>
        </w:rPr>
        <w:t>2.1.3 响应性评审标准：见评标办法前附表。</w:t>
      </w:r>
    </w:p>
    <w:p w14:paraId="6372B533">
      <w:pPr>
        <w:pStyle w:val="4"/>
        <w:spacing w:line="240" w:lineRule="auto"/>
        <w:ind w:firstLine="137"/>
        <w:rPr>
          <w:rFonts w:ascii="Times New Roman" w:hAnsi="Times New Roman"/>
          <w:color w:val="000000"/>
        </w:rPr>
      </w:pPr>
      <w:bookmarkStart w:id="329" w:name="_Toc24363"/>
      <w:r>
        <w:rPr>
          <w:rFonts w:ascii="Times New Roman" w:hAnsi="Times New Roman"/>
          <w:color w:val="000000"/>
        </w:rPr>
        <w:t>2.2 分值构成与评分标准</w:t>
      </w:r>
      <w:bookmarkEnd w:id="329"/>
    </w:p>
    <w:p w14:paraId="3C8EEE59">
      <w:pPr>
        <w:spacing w:line="400" w:lineRule="exact"/>
        <w:ind w:firstLine="420" w:firstLineChars="200"/>
        <w:rPr>
          <w:rFonts w:ascii="Times New Roman" w:hAnsi="Times New Roman"/>
          <w:color w:val="000000"/>
        </w:rPr>
      </w:pPr>
      <w:r>
        <w:rPr>
          <w:rFonts w:ascii="Times New Roman" w:hAnsi="Times New Roman"/>
          <w:color w:val="000000"/>
        </w:rPr>
        <w:t>2.2.1 分值构成</w:t>
      </w:r>
    </w:p>
    <w:p w14:paraId="7F8206BB">
      <w:pPr>
        <w:spacing w:line="400" w:lineRule="exact"/>
        <w:ind w:firstLine="420" w:firstLineChars="200"/>
        <w:rPr>
          <w:rFonts w:ascii="Times New Roman" w:hAnsi="Times New Roman"/>
        </w:rPr>
      </w:pPr>
      <w:r>
        <w:rPr>
          <w:rFonts w:ascii="Times New Roman" w:hAnsi="Times New Roman"/>
        </w:rPr>
        <w:t>（1）</w:t>
      </w:r>
      <w:r>
        <w:rPr>
          <w:rFonts w:hint="eastAsia" w:ascii="Times New Roman" w:hAnsi="Times New Roman"/>
          <w:lang w:val="en-US" w:eastAsia="zh-CN"/>
        </w:rPr>
        <w:t>综合标</w:t>
      </w:r>
      <w:r>
        <w:rPr>
          <w:rFonts w:ascii="Times New Roman" w:hAnsi="Times New Roman"/>
        </w:rPr>
        <w:t>：见评标办法前附表；</w:t>
      </w:r>
    </w:p>
    <w:p w14:paraId="51BFC26B">
      <w:pPr>
        <w:spacing w:line="400" w:lineRule="exact"/>
        <w:ind w:firstLine="420" w:firstLineChars="200"/>
        <w:rPr>
          <w:rFonts w:ascii="Times New Roman" w:hAnsi="Times New Roman"/>
        </w:rPr>
      </w:pPr>
      <w:r>
        <w:rPr>
          <w:rFonts w:ascii="Times New Roman" w:hAnsi="Times New Roman"/>
        </w:rPr>
        <w:t>（2）</w:t>
      </w:r>
      <w:r>
        <w:rPr>
          <w:rFonts w:hint="eastAsia" w:ascii="Times New Roman" w:hAnsi="Times New Roman"/>
          <w:lang w:val="en-US" w:eastAsia="zh-CN"/>
        </w:rPr>
        <w:t>技术标</w:t>
      </w:r>
      <w:r>
        <w:rPr>
          <w:rFonts w:ascii="Times New Roman" w:hAnsi="Times New Roman"/>
        </w:rPr>
        <w:t>：见评标办法前附表；</w:t>
      </w:r>
    </w:p>
    <w:p w14:paraId="18F574A9">
      <w:pPr>
        <w:spacing w:line="400" w:lineRule="exact"/>
        <w:ind w:firstLine="420" w:firstLineChars="200"/>
        <w:rPr>
          <w:rFonts w:ascii="Times New Roman" w:hAnsi="Times New Roman"/>
        </w:rPr>
      </w:pPr>
      <w:r>
        <w:rPr>
          <w:rFonts w:ascii="Times New Roman" w:hAnsi="Times New Roman"/>
        </w:rPr>
        <w:t>（3）</w:t>
      </w:r>
      <w:r>
        <w:rPr>
          <w:rFonts w:hint="eastAsia" w:ascii="Times New Roman" w:hAnsi="Times New Roman"/>
          <w:lang w:val="en-US" w:eastAsia="zh-CN"/>
        </w:rPr>
        <w:t>经济标</w:t>
      </w:r>
      <w:r>
        <w:rPr>
          <w:rFonts w:ascii="Times New Roman" w:hAnsi="Times New Roman"/>
        </w:rPr>
        <w:t>：见评标办法前附表；</w:t>
      </w:r>
    </w:p>
    <w:p w14:paraId="6E1D5FCB">
      <w:pPr>
        <w:spacing w:line="400" w:lineRule="exact"/>
        <w:ind w:firstLine="420" w:firstLineChars="200"/>
        <w:rPr>
          <w:rFonts w:ascii="Times New Roman" w:hAnsi="Times New Roman"/>
          <w:color w:val="000000"/>
        </w:rPr>
      </w:pPr>
      <w:r>
        <w:rPr>
          <w:rFonts w:ascii="Times New Roman" w:hAnsi="Times New Roman"/>
          <w:color w:val="000000"/>
        </w:rPr>
        <w:t>（4）其他</w:t>
      </w:r>
      <w:r>
        <w:rPr>
          <w:rFonts w:hint="eastAsia" w:ascii="Times New Roman" w:hAnsi="Times New Roman"/>
          <w:color w:val="000000"/>
          <w:lang w:val="en-US" w:eastAsia="zh-CN"/>
        </w:rPr>
        <w:t>标</w:t>
      </w:r>
      <w:r>
        <w:rPr>
          <w:rFonts w:ascii="Times New Roman" w:hAnsi="Times New Roman"/>
          <w:color w:val="000000"/>
        </w:rPr>
        <w:t>：见评标办法前附表。</w:t>
      </w:r>
    </w:p>
    <w:p w14:paraId="59D1967F">
      <w:pPr>
        <w:spacing w:line="400" w:lineRule="exact"/>
        <w:ind w:firstLine="420" w:firstLineChars="200"/>
        <w:rPr>
          <w:rFonts w:ascii="Times New Roman" w:hAnsi="Times New Roman"/>
          <w:color w:val="000000"/>
        </w:rPr>
      </w:pPr>
      <w:r>
        <w:rPr>
          <w:rFonts w:ascii="Times New Roman" w:hAnsi="Times New Roman"/>
          <w:color w:val="000000"/>
        </w:rPr>
        <w:t>2.2.2 评标基准价计算</w:t>
      </w:r>
    </w:p>
    <w:p w14:paraId="172C6E4D">
      <w:pPr>
        <w:spacing w:line="400" w:lineRule="exact"/>
        <w:ind w:firstLine="420" w:firstLineChars="200"/>
        <w:rPr>
          <w:rFonts w:ascii="Times New Roman" w:hAnsi="Times New Roman"/>
          <w:color w:val="000000"/>
        </w:rPr>
      </w:pPr>
      <w:r>
        <w:rPr>
          <w:rFonts w:ascii="Times New Roman" w:hAnsi="Times New Roman"/>
          <w:color w:val="000000"/>
        </w:rPr>
        <w:t>评标基准价计算方法：见评标办法前附表。</w:t>
      </w:r>
    </w:p>
    <w:p w14:paraId="6017CA19">
      <w:pPr>
        <w:spacing w:line="400" w:lineRule="exact"/>
        <w:ind w:firstLine="420" w:firstLineChars="200"/>
        <w:rPr>
          <w:rFonts w:ascii="Times New Roman" w:hAnsi="Times New Roman"/>
          <w:color w:val="000000"/>
        </w:rPr>
      </w:pPr>
      <w:r>
        <w:rPr>
          <w:rFonts w:ascii="Times New Roman" w:hAnsi="Times New Roman"/>
          <w:color w:val="000000"/>
        </w:rPr>
        <w:t>2.2.3 投标报价的偏差率计算</w:t>
      </w:r>
    </w:p>
    <w:p w14:paraId="775FBC98">
      <w:pPr>
        <w:spacing w:line="400" w:lineRule="exact"/>
        <w:ind w:firstLine="420" w:firstLineChars="200"/>
        <w:rPr>
          <w:rFonts w:ascii="Times New Roman" w:hAnsi="Times New Roman"/>
          <w:color w:val="000000"/>
        </w:rPr>
      </w:pPr>
      <w:r>
        <w:rPr>
          <w:rFonts w:ascii="Times New Roman" w:hAnsi="Times New Roman"/>
          <w:color w:val="000000"/>
        </w:rPr>
        <w:t>投标报价的偏差率计算公式：见评标办法前附表。</w:t>
      </w:r>
    </w:p>
    <w:p w14:paraId="1F473065">
      <w:pPr>
        <w:spacing w:line="400" w:lineRule="exact"/>
        <w:ind w:firstLine="420" w:firstLineChars="200"/>
        <w:rPr>
          <w:rFonts w:ascii="Times New Roman" w:hAnsi="Times New Roman"/>
          <w:color w:val="000000"/>
        </w:rPr>
      </w:pPr>
      <w:r>
        <w:rPr>
          <w:rFonts w:ascii="Times New Roman" w:hAnsi="Times New Roman"/>
          <w:color w:val="000000"/>
        </w:rPr>
        <w:t>2.2.4 评分标准</w:t>
      </w:r>
    </w:p>
    <w:p w14:paraId="55D3D96A">
      <w:pPr>
        <w:spacing w:line="400" w:lineRule="exact"/>
        <w:ind w:firstLine="420" w:firstLineChars="200"/>
        <w:rPr>
          <w:rFonts w:ascii="Times New Roman" w:hAnsi="Times New Roman"/>
        </w:rPr>
      </w:pPr>
      <w:r>
        <w:rPr>
          <w:rFonts w:ascii="Times New Roman" w:hAnsi="Times New Roman"/>
        </w:rPr>
        <w:t>（1）</w:t>
      </w:r>
      <w:r>
        <w:rPr>
          <w:rFonts w:hint="eastAsia" w:ascii="Times New Roman" w:hAnsi="Times New Roman"/>
          <w:lang w:val="en-US" w:eastAsia="zh-CN"/>
        </w:rPr>
        <w:t>综合标</w:t>
      </w:r>
      <w:r>
        <w:rPr>
          <w:rFonts w:ascii="Times New Roman" w:hAnsi="Times New Roman"/>
        </w:rPr>
        <w:t>评分标准：见评标办法前附表；</w:t>
      </w:r>
    </w:p>
    <w:p w14:paraId="34E2228D">
      <w:pPr>
        <w:spacing w:line="400" w:lineRule="exact"/>
        <w:ind w:firstLine="420" w:firstLineChars="200"/>
        <w:rPr>
          <w:rFonts w:ascii="Times New Roman" w:hAnsi="Times New Roman"/>
        </w:rPr>
      </w:pPr>
      <w:r>
        <w:rPr>
          <w:rFonts w:ascii="Times New Roman" w:hAnsi="Times New Roman"/>
        </w:rPr>
        <w:t>（2）</w:t>
      </w:r>
      <w:r>
        <w:rPr>
          <w:rFonts w:hint="eastAsia" w:ascii="Times New Roman" w:hAnsi="Times New Roman"/>
          <w:lang w:val="en-US" w:eastAsia="zh-CN"/>
        </w:rPr>
        <w:t>技术标</w:t>
      </w:r>
      <w:r>
        <w:rPr>
          <w:rFonts w:ascii="Times New Roman" w:hAnsi="Times New Roman"/>
        </w:rPr>
        <w:t>评分标准：见评标办法前附表；</w:t>
      </w:r>
    </w:p>
    <w:p w14:paraId="77FFEB54">
      <w:pPr>
        <w:spacing w:line="400" w:lineRule="exact"/>
        <w:ind w:firstLine="420" w:firstLineChars="200"/>
        <w:rPr>
          <w:rFonts w:ascii="Times New Roman" w:hAnsi="Times New Roman"/>
        </w:rPr>
      </w:pPr>
      <w:r>
        <w:rPr>
          <w:rFonts w:ascii="Times New Roman" w:hAnsi="Times New Roman"/>
        </w:rPr>
        <w:t>（3）</w:t>
      </w:r>
      <w:r>
        <w:rPr>
          <w:rFonts w:hint="eastAsia" w:ascii="Times New Roman" w:hAnsi="Times New Roman"/>
          <w:lang w:val="en-US" w:eastAsia="zh-CN"/>
        </w:rPr>
        <w:t>经济标</w:t>
      </w:r>
      <w:r>
        <w:rPr>
          <w:rFonts w:ascii="Times New Roman" w:hAnsi="Times New Roman"/>
        </w:rPr>
        <w:t>评分标准：见评标办法前附表；</w:t>
      </w:r>
    </w:p>
    <w:p w14:paraId="50656162">
      <w:pPr>
        <w:spacing w:line="400" w:lineRule="exact"/>
        <w:ind w:firstLine="420" w:firstLineChars="200"/>
        <w:rPr>
          <w:rFonts w:ascii="Times New Roman" w:hAnsi="Times New Roman"/>
        </w:rPr>
      </w:pPr>
      <w:r>
        <w:rPr>
          <w:rFonts w:ascii="Times New Roman" w:hAnsi="Times New Roman"/>
        </w:rPr>
        <w:t>（4）其他</w:t>
      </w:r>
      <w:r>
        <w:rPr>
          <w:rFonts w:hint="eastAsia" w:ascii="Times New Roman" w:hAnsi="Times New Roman"/>
          <w:lang w:val="en-US" w:eastAsia="zh-CN"/>
        </w:rPr>
        <w:t>标</w:t>
      </w:r>
      <w:r>
        <w:rPr>
          <w:rFonts w:ascii="Times New Roman" w:hAnsi="Times New Roman"/>
        </w:rPr>
        <w:t>评分标准：见评标办法前附表。</w:t>
      </w:r>
    </w:p>
    <w:p w14:paraId="165352C8">
      <w:pPr>
        <w:pStyle w:val="3"/>
        <w:rPr>
          <w:rFonts w:ascii="Times New Roman" w:hAnsi="Times New Roman"/>
          <w:color w:val="000000"/>
        </w:rPr>
      </w:pPr>
      <w:bookmarkStart w:id="330" w:name="_Toc21545"/>
      <w:r>
        <w:rPr>
          <w:rFonts w:ascii="Times New Roman" w:hAnsi="Times New Roman"/>
          <w:color w:val="000000"/>
        </w:rPr>
        <w:t>3. 评标程序</w:t>
      </w:r>
      <w:bookmarkEnd w:id="330"/>
    </w:p>
    <w:p w14:paraId="478467BC">
      <w:pPr>
        <w:pStyle w:val="4"/>
        <w:spacing w:line="240" w:lineRule="auto"/>
        <w:ind w:firstLine="137"/>
        <w:rPr>
          <w:rFonts w:ascii="Times New Roman" w:hAnsi="Times New Roman"/>
          <w:color w:val="000000"/>
        </w:rPr>
      </w:pPr>
      <w:bookmarkStart w:id="331" w:name="_Toc16609"/>
      <w:r>
        <w:rPr>
          <w:rFonts w:ascii="Times New Roman" w:hAnsi="Times New Roman"/>
          <w:color w:val="000000"/>
        </w:rPr>
        <w:t>3.1 初步评审</w:t>
      </w:r>
      <w:bookmarkEnd w:id="331"/>
    </w:p>
    <w:p w14:paraId="61423E4B">
      <w:pPr>
        <w:spacing w:line="400" w:lineRule="exact"/>
        <w:ind w:firstLine="420" w:firstLineChars="200"/>
        <w:rPr>
          <w:rFonts w:ascii="Times New Roman" w:hAnsi="Times New Roman"/>
          <w:color w:val="000000"/>
        </w:rPr>
      </w:pPr>
      <w:r>
        <w:rPr>
          <w:rFonts w:ascii="Times New Roman" w:hAnsi="Times New Roman"/>
          <w:color w:val="000000"/>
        </w:rPr>
        <w:t>3.1.1 评标委员会可以要求投标人提交第二章“投标人须知”规定的有关证明和证件的原件，以便核验。评标委员会依据本章第2.1款规定的标准对投标文件进行初步评审。有一项不符合评审标准的，评标委员会应当否决其投标。</w:t>
      </w:r>
    </w:p>
    <w:p w14:paraId="79D95EBA">
      <w:pPr>
        <w:spacing w:line="400" w:lineRule="exact"/>
        <w:ind w:firstLine="420" w:firstLineChars="200"/>
        <w:rPr>
          <w:rFonts w:ascii="Times New Roman" w:hAnsi="Times New Roman"/>
          <w:color w:val="000000"/>
        </w:rPr>
      </w:pPr>
      <w:r>
        <w:rPr>
          <w:rFonts w:ascii="Times New Roman" w:hAnsi="Times New Roman"/>
          <w:color w:val="000000"/>
        </w:rPr>
        <w:t>3.1.2 投标人有以下情形之一的，评标委员会应当否决其投标：</w:t>
      </w:r>
    </w:p>
    <w:p w14:paraId="781A5C73">
      <w:pPr>
        <w:spacing w:line="400" w:lineRule="exact"/>
        <w:ind w:firstLine="420" w:firstLineChars="200"/>
        <w:rPr>
          <w:rFonts w:ascii="Times New Roman" w:hAnsi="Times New Roman"/>
          <w:color w:val="000000"/>
        </w:rPr>
      </w:pPr>
      <w:r>
        <w:rPr>
          <w:rFonts w:ascii="Times New Roman" w:hAnsi="Times New Roman"/>
          <w:color w:val="000000"/>
        </w:rPr>
        <w:t>（1）投标文件没有对招标文件的实质性要求和条件作出响应，或者对招标文件的偏差超出招标文件规定的偏差范围或最高项数；</w:t>
      </w:r>
    </w:p>
    <w:p w14:paraId="32852BCD">
      <w:pPr>
        <w:spacing w:line="400" w:lineRule="exact"/>
        <w:ind w:firstLine="420" w:firstLineChars="200"/>
        <w:rPr>
          <w:rFonts w:ascii="Times New Roman" w:hAnsi="Times New Roman"/>
          <w:color w:val="000000"/>
        </w:rPr>
      </w:pPr>
      <w:r>
        <w:rPr>
          <w:rFonts w:ascii="Times New Roman" w:hAnsi="Times New Roman"/>
          <w:color w:val="000000"/>
        </w:rPr>
        <w:t>（2）有串通投标、弄虚作假、行贿等违法行为。</w:t>
      </w:r>
    </w:p>
    <w:p w14:paraId="5D631334">
      <w:pPr>
        <w:spacing w:line="400" w:lineRule="exact"/>
        <w:ind w:firstLine="420" w:firstLineChars="200"/>
        <w:rPr>
          <w:rFonts w:ascii="Times New Roman" w:hAnsi="Times New Roman"/>
          <w:color w:val="000000"/>
        </w:rPr>
      </w:pPr>
      <w:r>
        <w:rPr>
          <w:rFonts w:ascii="Times New Roman" w:hAnsi="Times New Roman"/>
          <w:color w:val="000000"/>
        </w:rPr>
        <w:t>3.1.3 投标报价有算术错误及其他错误的，评标委员会按以下原则要求投标人对投标报价进</w:t>
      </w:r>
      <w:bookmarkStart w:id="332" w:name="_Toc144974570"/>
      <w:bookmarkStart w:id="333" w:name="_Toc369531582"/>
      <w:bookmarkStart w:id="334" w:name="_Toc352691538"/>
      <w:bookmarkStart w:id="335" w:name="_Toc2907"/>
      <w:bookmarkStart w:id="336" w:name="_Toc361508651"/>
      <w:bookmarkStart w:id="337" w:name="_Toc152045603"/>
      <w:bookmarkStart w:id="338" w:name="_Toc384308277"/>
      <w:bookmarkStart w:id="339" w:name="_Toc247514027"/>
      <w:bookmarkStart w:id="340" w:name="_Toc152042380"/>
      <w:bookmarkStart w:id="341" w:name="_Toc300835013"/>
      <w:bookmarkStart w:id="342" w:name="_Toc247527628"/>
      <w:r>
        <w:rPr>
          <w:rFonts w:ascii="Times New Roman" w:hAnsi="Times New Roman"/>
          <w:color w:val="000000"/>
        </w:rPr>
        <w:t>行修正，并要求投标人书面澄清确认。</w:t>
      </w:r>
      <w:bookmarkEnd w:id="332"/>
      <w:bookmarkEnd w:id="333"/>
      <w:bookmarkEnd w:id="334"/>
      <w:bookmarkEnd w:id="335"/>
      <w:bookmarkEnd w:id="336"/>
      <w:bookmarkEnd w:id="337"/>
      <w:bookmarkEnd w:id="338"/>
      <w:bookmarkEnd w:id="339"/>
      <w:bookmarkEnd w:id="340"/>
      <w:bookmarkEnd w:id="341"/>
      <w:bookmarkEnd w:id="342"/>
      <w:r>
        <w:rPr>
          <w:rFonts w:ascii="Times New Roman" w:hAnsi="Times New Roman"/>
          <w:color w:val="000000"/>
        </w:rPr>
        <w:t>投标人拒不澄清确认的，评标委员会应当否决其投标：</w:t>
      </w:r>
    </w:p>
    <w:p w14:paraId="39A9B4BA">
      <w:pPr>
        <w:spacing w:line="400" w:lineRule="exact"/>
        <w:ind w:firstLine="420" w:firstLineChars="200"/>
        <w:rPr>
          <w:rFonts w:ascii="Times New Roman" w:hAnsi="Times New Roman"/>
          <w:color w:val="000000"/>
        </w:rPr>
      </w:pPr>
      <w:r>
        <w:rPr>
          <w:rFonts w:ascii="Times New Roman" w:hAnsi="Times New Roman"/>
          <w:color w:val="000000"/>
        </w:rPr>
        <w:t>（1）投标文件中的大写金额与小写金额不一致的，以大写金额为准；</w:t>
      </w:r>
    </w:p>
    <w:p w14:paraId="4CF7C4E5">
      <w:pPr>
        <w:spacing w:line="400" w:lineRule="exact"/>
        <w:ind w:firstLine="420" w:firstLineChars="200"/>
        <w:rPr>
          <w:rFonts w:ascii="Times New Roman" w:hAnsi="Times New Roman"/>
          <w:color w:val="000000"/>
        </w:rPr>
      </w:pPr>
      <w:r>
        <w:rPr>
          <w:rFonts w:ascii="Times New Roman" w:hAnsi="Times New Roman"/>
          <w:color w:val="000000"/>
        </w:rPr>
        <w:t>（2）总价金额与单价金额不一致的，以单价金额为准，但单价金额小数点有明显错误的除外；</w:t>
      </w:r>
    </w:p>
    <w:p w14:paraId="60114C1A">
      <w:pPr>
        <w:spacing w:line="400" w:lineRule="exact"/>
        <w:ind w:firstLine="420" w:firstLineChars="200"/>
        <w:rPr>
          <w:rFonts w:ascii="Times New Roman" w:hAnsi="Times New Roman"/>
          <w:color w:val="000000"/>
        </w:rPr>
      </w:pPr>
      <w:r>
        <w:rPr>
          <w:rFonts w:ascii="Times New Roman" w:hAnsi="Times New Roman"/>
          <w:color w:val="000000"/>
        </w:rPr>
        <w:t>（3）投标报价为各分项报价金额之和，投标报价与分项报价的合价不一致的，应以各分项合价累计数为准，修正投标报价；</w:t>
      </w:r>
    </w:p>
    <w:p w14:paraId="2299338D">
      <w:pPr>
        <w:spacing w:line="400" w:lineRule="exact"/>
        <w:ind w:firstLine="420" w:firstLineChars="200"/>
        <w:rPr>
          <w:rFonts w:ascii="Times New Roman" w:hAnsi="Times New Roman"/>
          <w:color w:val="000000"/>
        </w:rPr>
      </w:pPr>
      <w:r>
        <w:rPr>
          <w:rFonts w:ascii="Times New Roman" w:hAnsi="Times New Roman"/>
          <w:color w:val="000000"/>
        </w:rPr>
        <w:t>（4）</w:t>
      </w:r>
      <w:r>
        <w:rPr>
          <w:rFonts w:hint="eastAsia" w:ascii="Times New Roman" w:hAnsi="Times New Roman"/>
          <w:color w:val="000000"/>
        </w:rPr>
        <w:t>如果</w:t>
      </w:r>
      <w:r>
        <w:rPr>
          <w:rFonts w:ascii="Times New Roman" w:hAnsi="Times New Roman"/>
          <w:color w:val="000000"/>
        </w:rPr>
        <w:t>分项报价中存在缺漏项，则视为缺漏项价格已包含在其他分项报价之中。</w:t>
      </w:r>
    </w:p>
    <w:p w14:paraId="3349C087">
      <w:pPr>
        <w:pStyle w:val="4"/>
        <w:spacing w:line="240" w:lineRule="auto"/>
        <w:ind w:firstLine="137"/>
        <w:rPr>
          <w:rFonts w:ascii="Times New Roman" w:hAnsi="Times New Roman"/>
          <w:color w:val="000000"/>
        </w:rPr>
      </w:pPr>
      <w:bookmarkStart w:id="343" w:name="_Toc29840"/>
      <w:r>
        <w:rPr>
          <w:rFonts w:ascii="Times New Roman" w:hAnsi="Times New Roman"/>
          <w:color w:val="000000"/>
        </w:rPr>
        <w:t>3.2 详细评审</w:t>
      </w:r>
      <w:bookmarkEnd w:id="343"/>
    </w:p>
    <w:p w14:paraId="3466ADDB">
      <w:pPr>
        <w:spacing w:line="400" w:lineRule="exact"/>
        <w:ind w:firstLine="420" w:firstLineChars="200"/>
        <w:rPr>
          <w:rFonts w:ascii="Times New Roman" w:hAnsi="Times New Roman"/>
          <w:color w:val="000000"/>
        </w:rPr>
      </w:pPr>
      <w:r>
        <w:rPr>
          <w:rFonts w:ascii="Times New Roman" w:hAnsi="Times New Roman"/>
          <w:color w:val="000000"/>
        </w:rPr>
        <w:t>3.2.1 评标委员会按本章第2.2款规定的量化因素和分值进行打分，并计算出综合评估得分。</w:t>
      </w:r>
    </w:p>
    <w:p w14:paraId="111D8B50">
      <w:pPr>
        <w:spacing w:line="400" w:lineRule="exact"/>
        <w:ind w:firstLine="420" w:firstLineChars="200"/>
        <w:rPr>
          <w:rFonts w:ascii="Times New Roman" w:hAnsi="Times New Roman"/>
          <w:color w:val="000000"/>
        </w:rPr>
      </w:pPr>
      <w:r>
        <w:rPr>
          <w:rFonts w:ascii="Times New Roman" w:hAnsi="Times New Roman"/>
          <w:color w:val="000000"/>
        </w:rPr>
        <w:t>（1）按本章第2.2.4（1）目规定的评审因素和分值对</w:t>
      </w:r>
      <w:r>
        <w:rPr>
          <w:rFonts w:hint="eastAsia" w:ascii="Times New Roman" w:hAnsi="Times New Roman"/>
          <w:color w:val="000000"/>
          <w:lang w:val="en-US" w:eastAsia="zh-CN"/>
        </w:rPr>
        <w:t>综合标</w:t>
      </w:r>
      <w:r>
        <w:rPr>
          <w:rFonts w:ascii="Times New Roman" w:hAnsi="Times New Roman"/>
          <w:color w:val="000000"/>
        </w:rPr>
        <w:t>计算出得分A；</w:t>
      </w:r>
    </w:p>
    <w:p w14:paraId="74CBDC81">
      <w:pPr>
        <w:spacing w:line="400" w:lineRule="exact"/>
        <w:ind w:firstLine="420" w:firstLineChars="200"/>
        <w:rPr>
          <w:rFonts w:ascii="Times New Roman" w:hAnsi="Times New Roman"/>
          <w:color w:val="000000"/>
        </w:rPr>
      </w:pPr>
      <w:r>
        <w:rPr>
          <w:rFonts w:ascii="Times New Roman" w:hAnsi="Times New Roman"/>
          <w:color w:val="000000"/>
        </w:rPr>
        <w:t>（2）按本章第2.2.4（2）目规定的评审因素和分值对</w:t>
      </w:r>
      <w:r>
        <w:rPr>
          <w:rFonts w:hint="eastAsia" w:ascii="Times New Roman" w:hAnsi="Times New Roman"/>
          <w:color w:val="000000"/>
          <w:lang w:val="en-US" w:eastAsia="zh-CN"/>
        </w:rPr>
        <w:t>技术标</w:t>
      </w:r>
      <w:r>
        <w:rPr>
          <w:rFonts w:ascii="Times New Roman" w:hAnsi="Times New Roman"/>
          <w:color w:val="000000"/>
        </w:rPr>
        <w:t>计算出得分B；</w:t>
      </w:r>
    </w:p>
    <w:p w14:paraId="07620F76">
      <w:pPr>
        <w:spacing w:line="400" w:lineRule="exact"/>
        <w:ind w:firstLine="420" w:firstLineChars="200"/>
        <w:rPr>
          <w:rFonts w:ascii="Times New Roman" w:hAnsi="Times New Roman"/>
          <w:color w:val="000000"/>
        </w:rPr>
      </w:pPr>
      <w:r>
        <w:rPr>
          <w:rFonts w:ascii="Times New Roman" w:hAnsi="Times New Roman"/>
          <w:color w:val="000000"/>
        </w:rPr>
        <w:t>（3）按本章第2.2.4（3）目规定的评审因素和</w:t>
      </w:r>
      <w:bookmarkStart w:id="344" w:name="_Toc152045604"/>
      <w:bookmarkStart w:id="345" w:name="_Toc384308278"/>
      <w:bookmarkStart w:id="346" w:name="_Toc152042381"/>
      <w:bookmarkStart w:id="347" w:name="_Toc247514028"/>
      <w:bookmarkStart w:id="348" w:name="_Toc144974571"/>
      <w:bookmarkStart w:id="349" w:name="_Toc247527629"/>
      <w:bookmarkStart w:id="350" w:name="_Toc369531583"/>
      <w:bookmarkStart w:id="351" w:name="_Toc361508652"/>
      <w:bookmarkStart w:id="352" w:name="_Toc300835014"/>
      <w:bookmarkStart w:id="353" w:name="_Toc24330"/>
      <w:bookmarkStart w:id="354" w:name="_Toc352691539"/>
      <w:r>
        <w:rPr>
          <w:rFonts w:ascii="Times New Roman" w:hAnsi="Times New Roman"/>
          <w:color w:val="000000"/>
        </w:rPr>
        <w:t>分值对</w:t>
      </w:r>
      <w:bookmarkEnd w:id="344"/>
      <w:bookmarkEnd w:id="345"/>
      <w:bookmarkEnd w:id="346"/>
      <w:bookmarkEnd w:id="347"/>
      <w:bookmarkEnd w:id="348"/>
      <w:bookmarkEnd w:id="349"/>
      <w:bookmarkEnd w:id="350"/>
      <w:bookmarkEnd w:id="351"/>
      <w:bookmarkEnd w:id="352"/>
      <w:bookmarkEnd w:id="353"/>
      <w:bookmarkEnd w:id="354"/>
      <w:r>
        <w:rPr>
          <w:rFonts w:hint="eastAsia" w:ascii="Times New Roman" w:hAnsi="Times New Roman"/>
          <w:color w:val="000000"/>
          <w:lang w:val="en-US" w:eastAsia="zh-CN"/>
        </w:rPr>
        <w:t>经济标</w:t>
      </w:r>
      <w:r>
        <w:rPr>
          <w:rFonts w:ascii="Times New Roman" w:hAnsi="Times New Roman"/>
          <w:color w:val="000000"/>
        </w:rPr>
        <w:t>计</w:t>
      </w:r>
      <w:bookmarkStart w:id="355" w:name="_Toc247514029"/>
      <w:bookmarkStart w:id="356" w:name="_Toc384308279"/>
      <w:bookmarkStart w:id="357" w:name="_Toc352691540"/>
      <w:bookmarkStart w:id="358" w:name="_Toc247527630"/>
      <w:bookmarkStart w:id="359" w:name="_Toc361508653"/>
      <w:bookmarkStart w:id="360" w:name="_Toc18141"/>
      <w:bookmarkStart w:id="361" w:name="_Toc152045605"/>
      <w:bookmarkStart w:id="362" w:name="_Toc369531584"/>
      <w:bookmarkStart w:id="363" w:name="_Toc300835015"/>
      <w:bookmarkStart w:id="364" w:name="_Toc144974572"/>
      <w:bookmarkStart w:id="365" w:name="_Toc152042382"/>
      <w:r>
        <w:rPr>
          <w:rFonts w:ascii="Times New Roman" w:hAnsi="Times New Roman"/>
          <w:color w:val="000000"/>
        </w:rPr>
        <w:t>算出得分C；</w:t>
      </w:r>
    </w:p>
    <w:p w14:paraId="70EBF633">
      <w:pPr>
        <w:spacing w:line="400" w:lineRule="exact"/>
        <w:ind w:firstLine="420" w:firstLineChars="200"/>
        <w:rPr>
          <w:rFonts w:ascii="Times New Roman" w:hAnsi="Times New Roman"/>
          <w:color w:val="000000"/>
        </w:rPr>
      </w:pPr>
      <w:r>
        <w:rPr>
          <w:rFonts w:ascii="Times New Roman" w:hAnsi="Times New Roman"/>
          <w:color w:val="000000"/>
        </w:rPr>
        <w:t>（</w:t>
      </w:r>
      <w:bookmarkEnd w:id="355"/>
      <w:bookmarkEnd w:id="356"/>
      <w:bookmarkEnd w:id="357"/>
      <w:bookmarkEnd w:id="358"/>
      <w:bookmarkEnd w:id="359"/>
      <w:bookmarkEnd w:id="360"/>
      <w:bookmarkEnd w:id="361"/>
      <w:bookmarkEnd w:id="362"/>
      <w:bookmarkEnd w:id="363"/>
      <w:bookmarkEnd w:id="364"/>
      <w:bookmarkEnd w:id="365"/>
      <w:r>
        <w:rPr>
          <w:rFonts w:ascii="Times New Roman" w:hAnsi="Times New Roman"/>
          <w:color w:val="000000"/>
        </w:rPr>
        <w:t>4）按本章第2.2.4（4）目规定的评审因素和分值对其他</w:t>
      </w:r>
      <w:r>
        <w:rPr>
          <w:rFonts w:hint="eastAsia" w:ascii="Times New Roman" w:hAnsi="Times New Roman"/>
          <w:color w:val="000000"/>
          <w:lang w:val="en-US" w:eastAsia="zh-CN"/>
        </w:rPr>
        <w:t>标</w:t>
      </w:r>
      <w:r>
        <w:rPr>
          <w:rFonts w:ascii="Times New Roman" w:hAnsi="Times New Roman"/>
          <w:color w:val="000000"/>
        </w:rPr>
        <w:t>计算出得分D。</w:t>
      </w:r>
    </w:p>
    <w:p w14:paraId="341BDB4F">
      <w:pPr>
        <w:spacing w:line="400" w:lineRule="exact"/>
        <w:ind w:firstLine="420" w:firstLineChars="200"/>
        <w:rPr>
          <w:rFonts w:ascii="Times New Roman" w:hAnsi="Times New Roman"/>
          <w:color w:val="000000"/>
        </w:rPr>
      </w:pPr>
      <w:r>
        <w:rPr>
          <w:rFonts w:ascii="Times New Roman" w:hAnsi="Times New Roman"/>
          <w:color w:val="000000"/>
        </w:rPr>
        <w:t>3.2.2 评分分值计算保留小数点后两位，小数点后第三位“四舍五入”。</w:t>
      </w:r>
    </w:p>
    <w:p w14:paraId="08540C09">
      <w:pPr>
        <w:spacing w:line="400" w:lineRule="exact"/>
        <w:ind w:firstLine="420" w:firstLineChars="200"/>
        <w:rPr>
          <w:rFonts w:ascii="Times New Roman" w:hAnsi="Times New Roman"/>
          <w:color w:val="000000"/>
        </w:rPr>
      </w:pPr>
      <w:r>
        <w:rPr>
          <w:rFonts w:ascii="Times New Roman" w:hAnsi="Times New Roman"/>
          <w:color w:val="000000"/>
        </w:rPr>
        <w:t>3.2.3 投标人得分=A+B+C+D。</w:t>
      </w:r>
    </w:p>
    <w:p w14:paraId="01B7E155">
      <w:pPr>
        <w:spacing w:line="400" w:lineRule="exact"/>
        <w:ind w:firstLine="420" w:firstLineChars="200"/>
        <w:rPr>
          <w:rFonts w:ascii="Times New Roman" w:hAnsi="Times New Roman"/>
          <w:color w:val="000000"/>
        </w:rPr>
      </w:pPr>
      <w:r>
        <w:rPr>
          <w:rFonts w:ascii="Times New Roman" w:hAnsi="Times New Roman"/>
          <w:color w:val="000000"/>
        </w:rPr>
        <w:t>3.2.4 评标委员会发现投标人的报价明显低于其他投标报价，使得其投标报价可能低于其个别成本的，应当要求该投标人作出书面说明并提供相应的证明材料。投标人不能合理说明或者不能提供相应证明材料的，评标委员会应当认定该投标人以低于成本报价竞标，并否决其投标。</w:t>
      </w:r>
    </w:p>
    <w:p w14:paraId="3BA39353">
      <w:pPr>
        <w:spacing w:line="400" w:lineRule="exact"/>
        <w:ind w:firstLine="420" w:firstLineChars="200"/>
        <w:rPr>
          <w:rFonts w:hint="default" w:ascii="Times New Roman" w:hAnsi="Times New Roman" w:eastAsia="宋体"/>
          <w:color w:val="000000"/>
          <w:highlight w:val="none"/>
          <w:lang w:val="en-US" w:eastAsia="zh-CN"/>
        </w:rPr>
      </w:pPr>
      <w:r>
        <w:rPr>
          <w:rFonts w:hint="eastAsia" w:ascii="Times New Roman" w:hAnsi="Times New Roman"/>
          <w:color w:val="000000"/>
          <w:highlight w:val="none"/>
          <w:lang w:val="en-US" w:eastAsia="zh-CN"/>
        </w:rPr>
        <w:t>3.2.5 投标单位技术部分最终得分为去除1个评委最高分，去除1个评委最低分，然后取平均分。</w:t>
      </w:r>
    </w:p>
    <w:p w14:paraId="507C108E">
      <w:pPr>
        <w:pStyle w:val="4"/>
        <w:spacing w:line="240" w:lineRule="auto"/>
        <w:ind w:firstLine="137"/>
        <w:rPr>
          <w:rFonts w:ascii="Times New Roman" w:hAnsi="Times New Roman"/>
          <w:color w:val="000000"/>
        </w:rPr>
      </w:pPr>
      <w:bookmarkStart w:id="366" w:name="_Toc5419"/>
      <w:r>
        <w:rPr>
          <w:rFonts w:ascii="Times New Roman" w:hAnsi="Times New Roman"/>
          <w:color w:val="000000"/>
        </w:rPr>
        <w:t>3.3 投标文件的澄清</w:t>
      </w:r>
      <w:bookmarkEnd w:id="366"/>
    </w:p>
    <w:p w14:paraId="0BEAC74F">
      <w:pPr>
        <w:spacing w:line="400" w:lineRule="exact"/>
        <w:ind w:firstLine="420" w:firstLineChars="200"/>
        <w:rPr>
          <w:rFonts w:ascii="Times New Roman" w:hAnsi="Times New Roman"/>
          <w:color w:val="000000"/>
        </w:rPr>
      </w:pPr>
      <w:r>
        <w:rPr>
          <w:rFonts w:ascii="Times New Roman" w:hAnsi="Times New Roman"/>
          <w:color w:val="000000"/>
        </w:rPr>
        <w:t>3.3.1 在评标过程中，评标委员会可以书面形式要求投标人对投标文件中含义不明确、对同类问题表述不一致或者有明显文字和计算错误的内容作必要的澄清、说明或补正。澄清、说明或补正应以书面方式进行。评标委员会不接受投标人主动提出的澄清、说明或补正。</w:t>
      </w:r>
    </w:p>
    <w:p w14:paraId="60A4A664">
      <w:pPr>
        <w:spacing w:line="400" w:lineRule="exact"/>
        <w:ind w:firstLine="420" w:firstLineChars="200"/>
        <w:rPr>
          <w:rFonts w:ascii="Times New Roman" w:hAnsi="Times New Roman"/>
          <w:color w:val="000000"/>
        </w:rPr>
      </w:pPr>
      <w:r>
        <w:rPr>
          <w:rFonts w:ascii="Times New Roman" w:hAnsi="Times New Roman"/>
          <w:color w:val="000000"/>
        </w:rPr>
        <w:t>3.3.2 澄清、说明或补正不得超出投标文件的范围且不得改变投标文件的实质性内容，并构成投标文件的组成部分。</w:t>
      </w:r>
    </w:p>
    <w:p w14:paraId="63E14F74">
      <w:pPr>
        <w:spacing w:line="400" w:lineRule="exact"/>
        <w:ind w:firstLine="420" w:firstLineChars="200"/>
        <w:rPr>
          <w:rFonts w:ascii="Times New Roman" w:hAnsi="Times New Roman"/>
          <w:color w:val="000000"/>
        </w:rPr>
      </w:pPr>
      <w:r>
        <w:rPr>
          <w:rFonts w:ascii="Times New Roman" w:hAnsi="Times New Roman"/>
          <w:color w:val="000000"/>
        </w:rPr>
        <w:t>3.3.3 评标委员会对投标人提交的澄清、说明或补正有疑问的，可以要求投标人进一步澄清、说明或补正，直至满足评标委员会的要求。</w:t>
      </w:r>
    </w:p>
    <w:p w14:paraId="3486A22D">
      <w:pPr>
        <w:pStyle w:val="4"/>
        <w:spacing w:line="240" w:lineRule="auto"/>
        <w:ind w:firstLine="137"/>
        <w:rPr>
          <w:rFonts w:ascii="Times New Roman" w:hAnsi="Times New Roman"/>
          <w:color w:val="000000"/>
        </w:rPr>
      </w:pPr>
      <w:bookmarkStart w:id="367" w:name="_Toc17624"/>
      <w:r>
        <w:rPr>
          <w:rFonts w:ascii="Times New Roman" w:hAnsi="Times New Roman"/>
          <w:color w:val="000000"/>
        </w:rPr>
        <w:t>3.4 评标结果</w:t>
      </w:r>
      <w:bookmarkEnd w:id="367"/>
    </w:p>
    <w:p w14:paraId="06626920">
      <w:pPr>
        <w:spacing w:line="400" w:lineRule="exact"/>
        <w:ind w:firstLine="420" w:firstLineChars="200"/>
        <w:rPr>
          <w:rFonts w:ascii="Times New Roman" w:hAnsi="Times New Roman"/>
          <w:color w:val="000000"/>
        </w:rPr>
      </w:pPr>
      <w:r>
        <w:rPr>
          <w:rFonts w:ascii="Times New Roman" w:hAnsi="Times New Roman"/>
          <w:color w:val="000000"/>
        </w:rPr>
        <w:t>3.4.1 除第二章“投标人须知”前附表授权直接确定中标人外，评标委员会按照得分由高到低的顺序推荐中标候选人，并标明排序。</w:t>
      </w:r>
    </w:p>
    <w:p w14:paraId="2183C62B">
      <w:pPr>
        <w:spacing w:line="400" w:lineRule="exact"/>
        <w:ind w:firstLine="420" w:firstLineChars="200"/>
        <w:rPr>
          <w:rFonts w:hint="default" w:ascii="Times New Roman" w:hAnsi="Times New Roman" w:eastAsia="宋体"/>
          <w:color w:val="000000"/>
          <w:highlight w:val="none"/>
          <w:lang w:val="en-US" w:eastAsia="zh-CN"/>
        </w:rPr>
      </w:pPr>
      <w:r>
        <w:rPr>
          <w:rFonts w:ascii="Times New Roman" w:hAnsi="Times New Roman"/>
          <w:color w:val="000000"/>
        </w:rPr>
        <w:t>3.4.2 评标委员会完成评标后，应当向招标人提交书面评标报告和</w:t>
      </w:r>
      <w:r>
        <w:rPr>
          <w:rFonts w:hint="eastAsia"/>
          <w:highlight w:val="none"/>
          <w:lang w:val="en-US" w:eastAsia="zh-CN"/>
        </w:rPr>
        <w:t>中标候选人名单。</w:t>
      </w:r>
    </w:p>
    <w:p w14:paraId="326A0765">
      <w:pPr>
        <w:spacing w:line="400" w:lineRule="exact"/>
        <w:rPr>
          <w:rFonts w:ascii="Times New Roman" w:hAnsi="Times New Roman"/>
          <w:color w:val="000000"/>
          <w:highlight w:val="none"/>
        </w:rPr>
      </w:pPr>
      <w:r>
        <w:rPr>
          <w:color w:val="000000"/>
          <w:highlight w:val="none"/>
        </w:rPr>
        <w:br w:type="page"/>
      </w:r>
    </w:p>
    <w:p w14:paraId="022044EE">
      <w:pPr>
        <w:pStyle w:val="2"/>
        <w:jc w:val="center"/>
        <w:rPr>
          <w:color w:val="000000"/>
        </w:rPr>
      </w:pPr>
      <w:bookmarkStart w:id="368" w:name="_Toc29705"/>
      <w:r>
        <w:rPr>
          <w:color w:val="000000"/>
        </w:rPr>
        <w:t>第</w:t>
      </w:r>
      <w:r>
        <w:rPr>
          <w:rFonts w:hint="eastAsia"/>
          <w:color w:val="000000"/>
          <w:lang w:val="en-US" w:eastAsia="zh-CN"/>
        </w:rPr>
        <w:t>四</w:t>
      </w:r>
      <w:r>
        <w:rPr>
          <w:color w:val="000000"/>
        </w:rPr>
        <w:t>章合同条款及格式</w:t>
      </w:r>
      <w:bookmarkEnd w:id="368"/>
    </w:p>
    <w:p w14:paraId="3DEF48C6">
      <w:pPr>
        <w:spacing w:line="400" w:lineRule="exact"/>
        <w:ind w:firstLine="420" w:firstLineChars="200"/>
        <w:jc w:val="left"/>
        <w:outlineLvl w:val="9"/>
        <w:rPr>
          <w:rFonts w:ascii="Times New Roman" w:hAnsi="Times New Roman"/>
          <w:sz w:val="20"/>
        </w:rPr>
      </w:pPr>
      <w:bookmarkStart w:id="369" w:name="_Toc246997081"/>
      <w:bookmarkStart w:id="370" w:name="_Toc246996338"/>
      <w:bookmarkStart w:id="371" w:name="_Toc247085853"/>
      <w:bookmarkStart w:id="372" w:name="_Toc179632787"/>
      <w:bookmarkStart w:id="373" w:name="_Toc144974578"/>
      <w:bookmarkStart w:id="374" w:name="_Toc247527798"/>
      <w:bookmarkStart w:id="375" w:name="_Toc247514197"/>
      <w:bookmarkStart w:id="376" w:name="_Toc152042388"/>
      <w:bookmarkStart w:id="377" w:name="_Toc152045610"/>
      <w:bookmarkStart w:id="378" w:name="_Toc184635122"/>
      <w:bookmarkStart w:id="379" w:name="_Toc300835199"/>
      <w:bookmarkStart w:id="380" w:name="_Toc144974829"/>
      <w:bookmarkStart w:id="381" w:name="_Toc152042549"/>
      <w:r>
        <w:rPr>
          <w:rFonts w:hint="eastAsia" w:ascii="Times New Roman" w:hAnsi="Times New Roman"/>
          <w:szCs w:val="21"/>
        </w:rPr>
        <w:t>本项目合同将严格遵循国家相关法律法规及行业主管部门的规定，在中标后由招标人与中标人依据招标文件、投标文件及其澄清补遗文件等共同协商签订，确保合同内容合法、合规、完整、有效。</w:t>
      </w:r>
      <w:r>
        <w:rPr>
          <w:rFonts w:ascii="Times New Roman" w:hAnsi="Times New Roman"/>
          <w:szCs w:val="21"/>
        </w:rPr>
        <w:br w:type="page"/>
      </w:r>
    </w:p>
    <w:p w14:paraId="2C86DEE0">
      <w:pPr>
        <w:pStyle w:val="2"/>
        <w:jc w:val="center"/>
        <w:rPr>
          <w:rFonts w:ascii="Times New Roman" w:hAnsi="Times New Roman"/>
        </w:rPr>
      </w:pPr>
      <w:bookmarkStart w:id="382" w:name="_Toc5050"/>
      <w:r>
        <w:t>第</w:t>
      </w:r>
      <w:r>
        <w:rPr>
          <w:rFonts w:hint="eastAsia"/>
          <w:lang w:val="en-US" w:eastAsia="zh-CN"/>
        </w:rPr>
        <w:t>五</w:t>
      </w:r>
      <w:r>
        <w:t>章供货要求</w:t>
      </w:r>
      <w:bookmarkEnd w:id="382"/>
    </w:p>
    <w:p w14:paraId="44C1D746">
      <w:pPr>
        <w:spacing w:line="400" w:lineRule="exact"/>
        <w:jc w:val="center"/>
        <w:rPr>
          <w:rFonts w:ascii="Times New Roman" w:hAnsi="Times New Roman"/>
          <w:b/>
          <w:sz w:val="32"/>
          <w:szCs w:val="32"/>
        </w:rPr>
      </w:pPr>
      <w:r>
        <w:rPr>
          <w:rFonts w:ascii="Times New Roman" w:hAnsi="Times New Roman"/>
          <w:b/>
          <w:sz w:val="32"/>
          <w:szCs w:val="32"/>
        </w:rPr>
        <w:t>供货要求</w:t>
      </w:r>
    </w:p>
    <w:p w14:paraId="30F18AA3">
      <w:pPr>
        <w:spacing w:line="400" w:lineRule="exact"/>
        <w:jc w:val="center"/>
        <w:rPr>
          <w:rFonts w:ascii="Times New Roman" w:hAnsi="Times New Roman"/>
          <w:b/>
          <w:sz w:val="32"/>
          <w:szCs w:val="32"/>
        </w:rPr>
      </w:pPr>
    </w:p>
    <w:p w14:paraId="19FA7D0C">
      <w:pPr>
        <w:spacing w:line="400" w:lineRule="exact"/>
        <w:ind w:firstLine="420" w:firstLineChars="200"/>
        <w:jc w:val="left"/>
        <w:rPr>
          <w:rFonts w:ascii="Times New Roman" w:hAnsi="Times New Roman"/>
          <w:szCs w:val="21"/>
        </w:rPr>
      </w:pPr>
      <w:r>
        <w:rPr>
          <w:rFonts w:ascii="Times New Roman" w:hAnsi="Times New Roman"/>
          <w:szCs w:val="21"/>
        </w:rPr>
        <w:t>招标人应尽可能清晰准确地提出对材料的需求，并对所要求提供的材料名称、规格、数量及单位、交货期、交货地点、质量标准、验收标准、相关服务要求等作出说明。鉴于供货要求是合同文件的组成文件之一，指代主体名称宜采用买方和卖方分别表示招标人和投标人或中标人。</w:t>
      </w:r>
    </w:p>
    <w:p w14:paraId="5D752009">
      <w:pPr>
        <w:pStyle w:val="3"/>
        <w:spacing w:line="240" w:lineRule="auto"/>
        <w:rPr>
          <w:rFonts w:ascii="Times New Roman" w:hAnsi="Times New Roman"/>
          <w:b w:val="0"/>
          <w:sz w:val="28"/>
          <w:szCs w:val="28"/>
        </w:rPr>
      </w:pPr>
      <w:bookmarkStart w:id="383" w:name="_Toc13578"/>
      <w:r>
        <w:rPr>
          <w:rFonts w:ascii="Times New Roman" w:hAnsi="Times New Roman"/>
          <w:b w:val="0"/>
          <w:sz w:val="28"/>
          <w:szCs w:val="28"/>
        </w:rPr>
        <w:t>一、项目概况及总体要求</w:t>
      </w:r>
      <w:bookmarkEnd w:id="383"/>
    </w:p>
    <w:p w14:paraId="0BBB2C1E">
      <w:pPr>
        <w:spacing w:line="440" w:lineRule="exact"/>
        <w:ind w:firstLine="359" w:firstLineChars="171"/>
        <w:rPr>
          <w:rFonts w:ascii="Times New Roman" w:hAnsi="Times New Roman"/>
          <w:szCs w:val="21"/>
        </w:rPr>
      </w:pPr>
      <w:r>
        <w:rPr>
          <w:rFonts w:ascii="Times New Roman" w:hAnsi="Times New Roman"/>
          <w:szCs w:val="21"/>
        </w:rPr>
        <w:t>招标人可根据需要对工程项目的概况进行介绍，以使投标人更清晰地了解供货的总体要求和相关信息。</w:t>
      </w:r>
      <w:bookmarkStart w:id="384" w:name="_Toc2462"/>
    </w:p>
    <w:p w14:paraId="46B6C9C4">
      <w:pPr>
        <w:pStyle w:val="3"/>
        <w:spacing w:line="240" w:lineRule="auto"/>
        <w:rPr>
          <w:rFonts w:ascii="Times New Roman" w:hAnsi="Times New Roman"/>
          <w:b w:val="0"/>
          <w:sz w:val="28"/>
          <w:szCs w:val="28"/>
        </w:rPr>
      </w:pPr>
      <w:bookmarkStart w:id="385" w:name="_Toc30561"/>
      <w:r>
        <w:rPr>
          <w:rFonts w:ascii="Times New Roman" w:hAnsi="Times New Roman"/>
          <w:b w:val="0"/>
          <w:sz w:val="28"/>
          <w:szCs w:val="28"/>
        </w:rPr>
        <w:t>二、材料需求一览表</w:t>
      </w:r>
      <w:bookmarkEnd w:id="384"/>
      <w:bookmarkEnd w:id="385"/>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3"/>
        <w:gridCol w:w="2260"/>
        <w:gridCol w:w="1556"/>
        <w:gridCol w:w="1314"/>
        <w:gridCol w:w="1290"/>
        <w:gridCol w:w="1280"/>
      </w:tblGrid>
      <w:tr w14:paraId="5EE4E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3" w:type="dxa"/>
            <w:vAlign w:val="center"/>
          </w:tcPr>
          <w:p w14:paraId="630B6168">
            <w:pPr>
              <w:spacing w:line="440" w:lineRule="exact"/>
              <w:jc w:val="center"/>
              <w:rPr>
                <w:rFonts w:ascii="Times New Roman" w:hAnsi="Times New Roman"/>
                <w:szCs w:val="21"/>
              </w:rPr>
            </w:pPr>
            <w:r>
              <w:rPr>
                <w:rFonts w:ascii="Times New Roman" w:hAnsi="Times New Roman"/>
                <w:szCs w:val="21"/>
              </w:rPr>
              <w:t>序号</w:t>
            </w:r>
          </w:p>
        </w:tc>
        <w:tc>
          <w:tcPr>
            <w:tcW w:w="2260" w:type="dxa"/>
            <w:vAlign w:val="center"/>
          </w:tcPr>
          <w:p w14:paraId="2780B7DE">
            <w:pPr>
              <w:spacing w:line="440" w:lineRule="exact"/>
              <w:jc w:val="center"/>
              <w:rPr>
                <w:rFonts w:ascii="Times New Roman" w:hAnsi="Times New Roman"/>
                <w:szCs w:val="21"/>
              </w:rPr>
            </w:pPr>
            <w:r>
              <w:rPr>
                <w:rFonts w:ascii="Times New Roman" w:hAnsi="Times New Roman"/>
                <w:szCs w:val="21"/>
              </w:rPr>
              <w:t>材料名称</w:t>
            </w:r>
          </w:p>
        </w:tc>
        <w:tc>
          <w:tcPr>
            <w:tcW w:w="1556" w:type="dxa"/>
            <w:vAlign w:val="center"/>
          </w:tcPr>
          <w:p w14:paraId="6C1ED1CB">
            <w:pPr>
              <w:spacing w:line="440" w:lineRule="exact"/>
              <w:jc w:val="center"/>
              <w:rPr>
                <w:rFonts w:ascii="Times New Roman" w:hAnsi="Times New Roman"/>
                <w:szCs w:val="21"/>
              </w:rPr>
            </w:pPr>
            <w:r>
              <w:rPr>
                <w:rFonts w:ascii="Times New Roman" w:hAnsi="Times New Roman"/>
                <w:szCs w:val="21"/>
              </w:rPr>
              <w:t>数量及单位</w:t>
            </w:r>
          </w:p>
        </w:tc>
        <w:tc>
          <w:tcPr>
            <w:tcW w:w="1314" w:type="dxa"/>
            <w:vAlign w:val="center"/>
          </w:tcPr>
          <w:p w14:paraId="325FDDA6">
            <w:pPr>
              <w:spacing w:line="440" w:lineRule="exact"/>
              <w:jc w:val="center"/>
              <w:rPr>
                <w:rFonts w:ascii="Times New Roman" w:hAnsi="Times New Roman"/>
                <w:szCs w:val="21"/>
              </w:rPr>
            </w:pPr>
            <w:r>
              <w:rPr>
                <w:rFonts w:ascii="Times New Roman" w:hAnsi="Times New Roman"/>
                <w:szCs w:val="21"/>
              </w:rPr>
              <w:t>交货期</w:t>
            </w:r>
          </w:p>
        </w:tc>
        <w:tc>
          <w:tcPr>
            <w:tcW w:w="1290" w:type="dxa"/>
            <w:vAlign w:val="center"/>
          </w:tcPr>
          <w:p w14:paraId="475320CE">
            <w:pPr>
              <w:spacing w:line="440" w:lineRule="exact"/>
              <w:jc w:val="center"/>
              <w:rPr>
                <w:rFonts w:ascii="Times New Roman" w:hAnsi="Times New Roman"/>
                <w:szCs w:val="21"/>
              </w:rPr>
            </w:pPr>
            <w:r>
              <w:rPr>
                <w:rFonts w:ascii="Times New Roman" w:hAnsi="Times New Roman"/>
                <w:szCs w:val="21"/>
              </w:rPr>
              <w:t>交货地点</w:t>
            </w:r>
          </w:p>
        </w:tc>
        <w:tc>
          <w:tcPr>
            <w:tcW w:w="1280" w:type="dxa"/>
            <w:vAlign w:val="center"/>
          </w:tcPr>
          <w:p w14:paraId="68B35611">
            <w:pPr>
              <w:spacing w:line="440" w:lineRule="exact"/>
              <w:jc w:val="center"/>
              <w:rPr>
                <w:rFonts w:ascii="Times New Roman" w:hAnsi="Times New Roman"/>
                <w:szCs w:val="21"/>
              </w:rPr>
            </w:pPr>
            <w:r>
              <w:rPr>
                <w:rFonts w:ascii="Times New Roman" w:hAnsi="Times New Roman"/>
                <w:szCs w:val="21"/>
              </w:rPr>
              <w:t>……</w:t>
            </w:r>
          </w:p>
        </w:tc>
      </w:tr>
      <w:tr w14:paraId="1EE66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3" w:type="dxa"/>
            <w:vAlign w:val="center"/>
          </w:tcPr>
          <w:p w14:paraId="51EAB9D1">
            <w:pPr>
              <w:spacing w:line="440" w:lineRule="exact"/>
              <w:jc w:val="center"/>
              <w:rPr>
                <w:rFonts w:ascii="Times New Roman" w:hAnsi="Times New Roman"/>
                <w:szCs w:val="21"/>
              </w:rPr>
            </w:pPr>
            <w:r>
              <w:rPr>
                <w:rFonts w:ascii="Times New Roman" w:hAnsi="Times New Roman"/>
                <w:szCs w:val="21"/>
              </w:rPr>
              <w:t>1</w:t>
            </w:r>
          </w:p>
        </w:tc>
        <w:tc>
          <w:tcPr>
            <w:tcW w:w="2260" w:type="dxa"/>
            <w:vAlign w:val="center"/>
          </w:tcPr>
          <w:p w14:paraId="0FB117D5">
            <w:pPr>
              <w:spacing w:line="440" w:lineRule="exact"/>
              <w:jc w:val="center"/>
              <w:rPr>
                <w:rFonts w:ascii="Times New Roman" w:hAnsi="Times New Roman"/>
                <w:szCs w:val="21"/>
              </w:rPr>
            </w:pPr>
          </w:p>
        </w:tc>
        <w:tc>
          <w:tcPr>
            <w:tcW w:w="1556" w:type="dxa"/>
            <w:vAlign w:val="center"/>
          </w:tcPr>
          <w:p w14:paraId="3F3AD77F">
            <w:pPr>
              <w:spacing w:line="440" w:lineRule="exact"/>
              <w:jc w:val="center"/>
              <w:rPr>
                <w:rFonts w:ascii="Times New Roman" w:hAnsi="Times New Roman"/>
                <w:szCs w:val="21"/>
              </w:rPr>
            </w:pPr>
          </w:p>
        </w:tc>
        <w:tc>
          <w:tcPr>
            <w:tcW w:w="1314" w:type="dxa"/>
            <w:vAlign w:val="center"/>
          </w:tcPr>
          <w:p w14:paraId="0DF70BE3">
            <w:pPr>
              <w:spacing w:line="440" w:lineRule="exact"/>
              <w:jc w:val="center"/>
              <w:rPr>
                <w:rFonts w:ascii="Times New Roman" w:hAnsi="Times New Roman"/>
                <w:szCs w:val="21"/>
              </w:rPr>
            </w:pPr>
          </w:p>
        </w:tc>
        <w:tc>
          <w:tcPr>
            <w:tcW w:w="1290" w:type="dxa"/>
            <w:vAlign w:val="center"/>
          </w:tcPr>
          <w:p w14:paraId="7DC39C51">
            <w:pPr>
              <w:spacing w:line="440" w:lineRule="exact"/>
              <w:jc w:val="center"/>
              <w:rPr>
                <w:rFonts w:ascii="Times New Roman" w:hAnsi="Times New Roman"/>
                <w:szCs w:val="21"/>
              </w:rPr>
            </w:pPr>
          </w:p>
        </w:tc>
        <w:tc>
          <w:tcPr>
            <w:tcW w:w="1280" w:type="dxa"/>
            <w:vAlign w:val="center"/>
          </w:tcPr>
          <w:p w14:paraId="7D4FE884">
            <w:pPr>
              <w:spacing w:line="440" w:lineRule="exact"/>
              <w:jc w:val="center"/>
              <w:rPr>
                <w:rFonts w:ascii="Times New Roman" w:hAnsi="Times New Roman"/>
                <w:szCs w:val="21"/>
              </w:rPr>
            </w:pPr>
          </w:p>
        </w:tc>
      </w:tr>
      <w:tr w14:paraId="5C3B3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3" w:type="dxa"/>
            <w:vAlign w:val="center"/>
          </w:tcPr>
          <w:p w14:paraId="1081B51A">
            <w:pPr>
              <w:spacing w:line="440" w:lineRule="exact"/>
              <w:jc w:val="center"/>
              <w:rPr>
                <w:rFonts w:ascii="Times New Roman" w:hAnsi="Times New Roman"/>
                <w:szCs w:val="21"/>
              </w:rPr>
            </w:pPr>
            <w:r>
              <w:rPr>
                <w:rFonts w:ascii="Times New Roman" w:hAnsi="Times New Roman"/>
                <w:szCs w:val="21"/>
              </w:rPr>
              <w:t>2</w:t>
            </w:r>
          </w:p>
        </w:tc>
        <w:tc>
          <w:tcPr>
            <w:tcW w:w="2260" w:type="dxa"/>
            <w:vAlign w:val="center"/>
          </w:tcPr>
          <w:p w14:paraId="389BEF5D">
            <w:pPr>
              <w:spacing w:line="440" w:lineRule="exact"/>
              <w:jc w:val="center"/>
              <w:rPr>
                <w:rFonts w:ascii="Times New Roman" w:hAnsi="Times New Roman"/>
                <w:szCs w:val="21"/>
              </w:rPr>
            </w:pPr>
          </w:p>
        </w:tc>
        <w:tc>
          <w:tcPr>
            <w:tcW w:w="1556" w:type="dxa"/>
            <w:vAlign w:val="center"/>
          </w:tcPr>
          <w:p w14:paraId="71E3A0B8">
            <w:pPr>
              <w:spacing w:line="440" w:lineRule="exact"/>
              <w:jc w:val="center"/>
              <w:rPr>
                <w:rFonts w:ascii="Times New Roman" w:hAnsi="Times New Roman"/>
                <w:szCs w:val="21"/>
              </w:rPr>
            </w:pPr>
          </w:p>
        </w:tc>
        <w:tc>
          <w:tcPr>
            <w:tcW w:w="1314" w:type="dxa"/>
            <w:vAlign w:val="center"/>
          </w:tcPr>
          <w:p w14:paraId="50C46045">
            <w:pPr>
              <w:spacing w:line="440" w:lineRule="exact"/>
              <w:jc w:val="center"/>
              <w:rPr>
                <w:rFonts w:ascii="Times New Roman" w:hAnsi="Times New Roman"/>
                <w:szCs w:val="21"/>
              </w:rPr>
            </w:pPr>
          </w:p>
        </w:tc>
        <w:tc>
          <w:tcPr>
            <w:tcW w:w="1290" w:type="dxa"/>
            <w:vAlign w:val="center"/>
          </w:tcPr>
          <w:p w14:paraId="23EBF834">
            <w:pPr>
              <w:spacing w:line="440" w:lineRule="exact"/>
              <w:jc w:val="center"/>
              <w:rPr>
                <w:rFonts w:ascii="Times New Roman" w:hAnsi="Times New Roman"/>
                <w:szCs w:val="21"/>
              </w:rPr>
            </w:pPr>
          </w:p>
        </w:tc>
        <w:tc>
          <w:tcPr>
            <w:tcW w:w="1280" w:type="dxa"/>
            <w:vAlign w:val="center"/>
          </w:tcPr>
          <w:p w14:paraId="12FA5A8B">
            <w:pPr>
              <w:spacing w:line="440" w:lineRule="exact"/>
              <w:jc w:val="center"/>
              <w:rPr>
                <w:rFonts w:ascii="Times New Roman" w:hAnsi="Times New Roman"/>
                <w:szCs w:val="21"/>
              </w:rPr>
            </w:pPr>
          </w:p>
        </w:tc>
      </w:tr>
      <w:tr w14:paraId="1D0E3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3" w:type="dxa"/>
            <w:vAlign w:val="center"/>
          </w:tcPr>
          <w:p w14:paraId="0FBCD02C">
            <w:pPr>
              <w:spacing w:line="440" w:lineRule="exact"/>
              <w:jc w:val="center"/>
              <w:rPr>
                <w:rFonts w:ascii="Times New Roman" w:hAnsi="Times New Roman"/>
                <w:szCs w:val="21"/>
              </w:rPr>
            </w:pPr>
            <w:r>
              <w:rPr>
                <w:rFonts w:ascii="Times New Roman" w:hAnsi="Times New Roman"/>
                <w:szCs w:val="21"/>
              </w:rPr>
              <w:t>3</w:t>
            </w:r>
          </w:p>
        </w:tc>
        <w:tc>
          <w:tcPr>
            <w:tcW w:w="2260" w:type="dxa"/>
            <w:vAlign w:val="center"/>
          </w:tcPr>
          <w:p w14:paraId="647EBBE9">
            <w:pPr>
              <w:spacing w:line="440" w:lineRule="exact"/>
              <w:jc w:val="center"/>
              <w:rPr>
                <w:rFonts w:ascii="Times New Roman" w:hAnsi="Times New Roman"/>
                <w:szCs w:val="21"/>
              </w:rPr>
            </w:pPr>
          </w:p>
        </w:tc>
        <w:tc>
          <w:tcPr>
            <w:tcW w:w="1556" w:type="dxa"/>
            <w:vAlign w:val="center"/>
          </w:tcPr>
          <w:p w14:paraId="30B6848C">
            <w:pPr>
              <w:spacing w:line="440" w:lineRule="exact"/>
              <w:jc w:val="center"/>
              <w:rPr>
                <w:rFonts w:ascii="Times New Roman" w:hAnsi="Times New Roman"/>
                <w:szCs w:val="21"/>
              </w:rPr>
            </w:pPr>
          </w:p>
        </w:tc>
        <w:tc>
          <w:tcPr>
            <w:tcW w:w="1314" w:type="dxa"/>
            <w:vAlign w:val="center"/>
          </w:tcPr>
          <w:p w14:paraId="5DFDDF0E">
            <w:pPr>
              <w:spacing w:line="440" w:lineRule="exact"/>
              <w:jc w:val="center"/>
              <w:rPr>
                <w:rFonts w:ascii="Times New Roman" w:hAnsi="Times New Roman"/>
                <w:szCs w:val="21"/>
              </w:rPr>
            </w:pPr>
          </w:p>
        </w:tc>
        <w:tc>
          <w:tcPr>
            <w:tcW w:w="1290" w:type="dxa"/>
            <w:vAlign w:val="center"/>
          </w:tcPr>
          <w:p w14:paraId="4EBC6A1A">
            <w:pPr>
              <w:spacing w:line="440" w:lineRule="exact"/>
              <w:jc w:val="center"/>
              <w:rPr>
                <w:rFonts w:ascii="Times New Roman" w:hAnsi="Times New Roman"/>
                <w:szCs w:val="21"/>
              </w:rPr>
            </w:pPr>
          </w:p>
        </w:tc>
        <w:tc>
          <w:tcPr>
            <w:tcW w:w="1280" w:type="dxa"/>
            <w:vAlign w:val="center"/>
          </w:tcPr>
          <w:p w14:paraId="42C1438B">
            <w:pPr>
              <w:spacing w:line="440" w:lineRule="exact"/>
              <w:jc w:val="center"/>
              <w:rPr>
                <w:rFonts w:ascii="Times New Roman" w:hAnsi="Times New Roman"/>
                <w:szCs w:val="21"/>
              </w:rPr>
            </w:pPr>
          </w:p>
        </w:tc>
      </w:tr>
      <w:tr w14:paraId="63AA7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3" w:type="dxa"/>
            <w:vAlign w:val="center"/>
          </w:tcPr>
          <w:p w14:paraId="7E62EDB4">
            <w:pPr>
              <w:spacing w:line="440" w:lineRule="exact"/>
              <w:jc w:val="center"/>
              <w:rPr>
                <w:rFonts w:ascii="Times New Roman" w:hAnsi="Times New Roman"/>
                <w:szCs w:val="21"/>
              </w:rPr>
            </w:pPr>
            <w:r>
              <w:rPr>
                <w:rFonts w:ascii="Times New Roman" w:hAnsi="Times New Roman"/>
                <w:szCs w:val="21"/>
              </w:rPr>
              <w:t>4</w:t>
            </w:r>
          </w:p>
        </w:tc>
        <w:tc>
          <w:tcPr>
            <w:tcW w:w="2260" w:type="dxa"/>
            <w:vAlign w:val="center"/>
          </w:tcPr>
          <w:p w14:paraId="6A41242B">
            <w:pPr>
              <w:spacing w:line="440" w:lineRule="exact"/>
              <w:jc w:val="center"/>
              <w:rPr>
                <w:rFonts w:ascii="Times New Roman" w:hAnsi="Times New Roman"/>
                <w:szCs w:val="21"/>
              </w:rPr>
            </w:pPr>
          </w:p>
        </w:tc>
        <w:tc>
          <w:tcPr>
            <w:tcW w:w="1556" w:type="dxa"/>
            <w:vAlign w:val="center"/>
          </w:tcPr>
          <w:p w14:paraId="16EE6D37">
            <w:pPr>
              <w:spacing w:line="440" w:lineRule="exact"/>
              <w:jc w:val="center"/>
              <w:rPr>
                <w:rFonts w:ascii="Times New Roman" w:hAnsi="Times New Roman"/>
                <w:szCs w:val="21"/>
              </w:rPr>
            </w:pPr>
          </w:p>
        </w:tc>
        <w:tc>
          <w:tcPr>
            <w:tcW w:w="1314" w:type="dxa"/>
            <w:vAlign w:val="center"/>
          </w:tcPr>
          <w:p w14:paraId="66026389">
            <w:pPr>
              <w:spacing w:line="440" w:lineRule="exact"/>
              <w:jc w:val="center"/>
              <w:rPr>
                <w:rFonts w:ascii="Times New Roman" w:hAnsi="Times New Roman"/>
                <w:szCs w:val="21"/>
              </w:rPr>
            </w:pPr>
          </w:p>
        </w:tc>
        <w:tc>
          <w:tcPr>
            <w:tcW w:w="1290" w:type="dxa"/>
            <w:vAlign w:val="center"/>
          </w:tcPr>
          <w:p w14:paraId="64805AC5">
            <w:pPr>
              <w:spacing w:line="440" w:lineRule="exact"/>
              <w:jc w:val="center"/>
              <w:rPr>
                <w:rFonts w:ascii="Times New Roman" w:hAnsi="Times New Roman"/>
                <w:szCs w:val="21"/>
              </w:rPr>
            </w:pPr>
          </w:p>
        </w:tc>
        <w:tc>
          <w:tcPr>
            <w:tcW w:w="1280" w:type="dxa"/>
            <w:vAlign w:val="center"/>
          </w:tcPr>
          <w:p w14:paraId="706FDDDF">
            <w:pPr>
              <w:spacing w:line="440" w:lineRule="exact"/>
              <w:jc w:val="center"/>
              <w:rPr>
                <w:rFonts w:ascii="Times New Roman" w:hAnsi="Times New Roman"/>
                <w:szCs w:val="21"/>
              </w:rPr>
            </w:pPr>
          </w:p>
        </w:tc>
      </w:tr>
      <w:tr w14:paraId="570B5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3" w:type="dxa"/>
            <w:vAlign w:val="center"/>
          </w:tcPr>
          <w:p w14:paraId="29BE5E87">
            <w:pPr>
              <w:spacing w:line="440" w:lineRule="exact"/>
              <w:jc w:val="center"/>
              <w:rPr>
                <w:rFonts w:ascii="Times New Roman" w:hAnsi="Times New Roman"/>
                <w:szCs w:val="21"/>
              </w:rPr>
            </w:pPr>
            <w:r>
              <w:rPr>
                <w:rFonts w:ascii="Times New Roman" w:hAnsi="Times New Roman"/>
                <w:szCs w:val="21"/>
              </w:rPr>
              <w:t>……</w:t>
            </w:r>
          </w:p>
        </w:tc>
        <w:tc>
          <w:tcPr>
            <w:tcW w:w="2260" w:type="dxa"/>
            <w:vAlign w:val="center"/>
          </w:tcPr>
          <w:p w14:paraId="495F0AA1">
            <w:pPr>
              <w:spacing w:line="440" w:lineRule="exact"/>
              <w:jc w:val="center"/>
              <w:rPr>
                <w:rFonts w:ascii="Times New Roman" w:hAnsi="Times New Roman"/>
                <w:szCs w:val="21"/>
              </w:rPr>
            </w:pPr>
          </w:p>
        </w:tc>
        <w:tc>
          <w:tcPr>
            <w:tcW w:w="1556" w:type="dxa"/>
            <w:vAlign w:val="center"/>
          </w:tcPr>
          <w:p w14:paraId="30643CFC">
            <w:pPr>
              <w:spacing w:line="440" w:lineRule="exact"/>
              <w:jc w:val="center"/>
              <w:rPr>
                <w:rFonts w:ascii="Times New Roman" w:hAnsi="Times New Roman"/>
                <w:szCs w:val="21"/>
              </w:rPr>
            </w:pPr>
          </w:p>
        </w:tc>
        <w:tc>
          <w:tcPr>
            <w:tcW w:w="1314" w:type="dxa"/>
            <w:vAlign w:val="center"/>
          </w:tcPr>
          <w:p w14:paraId="38897944">
            <w:pPr>
              <w:spacing w:line="440" w:lineRule="exact"/>
              <w:jc w:val="center"/>
              <w:rPr>
                <w:rFonts w:ascii="Times New Roman" w:hAnsi="Times New Roman"/>
                <w:szCs w:val="21"/>
              </w:rPr>
            </w:pPr>
          </w:p>
        </w:tc>
        <w:tc>
          <w:tcPr>
            <w:tcW w:w="1290" w:type="dxa"/>
            <w:vAlign w:val="center"/>
          </w:tcPr>
          <w:p w14:paraId="6BD04DDF">
            <w:pPr>
              <w:spacing w:line="440" w:lineRule="exact"/>
              <w:jc w:val="center"/>
              <w:rPr>
                <w:rFonts w:ascii="Times New Roman" w:hAnsi="Times New Roman"/>
                <w:szCs w:val="21"/>
              </w:rPr>
            </w:pPr>
          </w:p>
        </w:tc>
        <w:tc>
          <w:tcPr>
            <w:tcW w:w="1280" w:type="dxa"/>
            <w:vAlign w:val="center"/>
          </w:tcPr>
          <w:p w14:paraId="5372035C">
            <w:pPr>
              <w:spacing w:line="440" w:lineRule="exact"/>
              <w:jc w:val="center"/>
              <w:rPr>
                <w:rFonts w:ascii="Times New Roman" w:hAnsi="Times New Roman"/>
                <w:szCs w:val="21"/>
              </w:rPr>
            </w:pPr>
          </w:p>
        </w:tc>
      </w:tr>
    </w:tbl>
    <w:p w14:paraId="3EB18F1E">
      <w:pPr>
        <w:pStyle w:val="3"/>
        <w:numPr>
          <w:ilvl w:val="0"/>
          <w:numId w:val="2"/>
        </w:numPr>
        <w:spacing w:line="240" w:lineRule="auto"/>
        <w:rPr>
          <w:rFonts w:ascii="Times New Roman" w:hAnsi="Times New Roman"/>
          <w:b w:val="0"/>
          <w:sz w:val="28"/>
          <w:szCs w:val="28"/>
        </w:rPr>
      </w:pPr>
      <w:bookmarkStart w:id="386" w:name="_Toc1846"/>
      <w:r>
        <w:rPr>
          <w:rFonts w:ascii="Times New Roman" w:hAnsi="Times New Roman"/>
          <w:b w:val="0"/>
          <w:sz w:val="28"/>
          <w:szCs w:val="28"/>
        </w:rPr>
        <w:t>质量标准</w:t>
      </w:r>
      <w:bookmarkEnd w:id="386"/>
    </w:p>
    <w:p w14:paraId="25F47CB6">
      <w:pPr>
        <w:numPr>
          <w:ilvl w:val="0"/>
          <w:numId w:val="0"/>
        </w:numPr>
      </w:pPr>
    </w:p>
    <w:bookmarkEnd w:id="369"/>
    <w:bookmarkEnd w:id="370"/>
    <w:bookmarkEnd w:id="371"/>
    <w:bookmarkEnd w:id="372"/>
    <w:p w14:paraId="3D9EDF74">
      <w:pPr>
        <w:pStyle w:val="3"/>
        <w:spacing w:line="240" w:lineRule="auto"/>
        <w:rPr>
          <w:rFonts w:ascii="Times New Roman" w:hAnsi="Times New Roman"/>
          <w:b w:val="0"/>
          <w:sz w:val="28"/>
          <w:szCs w:val="28"/>
        </w:rPr>
      </w:pPr>
      <w:bookmarkStart w:id="387" w:name="_Toc13844"/>
      <w:r>
        <w:rPr>
          <w:rFonts w:ascii="Times New Roman" w:hAnsi="Times New Roman"/>
          <w:b w:val="0"/>
          <w:sz w:val="28"/>
          <w:szCs w:val="28"/>
        </w:rPr>
        <w:t>四、验收标准</w:t>
      </w:r>
      <w:bookmarkEnd w:id="387"/>
    </w:p>
    <w:p w14:paraId="36978C1D"/>
    <w:p w14:paraId="0220584F">
      <w:pPr>
        <w:pStyle w:val="3"/>
        <w:spacing w:line="240" w:lineRule="auto"/>
        <w:rPr>
          <w:rFonts w:ascii="Times New Roman" w:hAnsi="Times New Roman"/>
          <w:b w:val="0"/>
          <w:sz w:val="28"/>
          <w:szCs w:val="28"/>
        </w:rPr>
      </w:pPr>
      <w:bookmarkStart w:id="388" w:name="_Toc9624"/>
      <w:r>
        <w:rPr>
          <w:rFonts w:ascii="Times New Roman" w:hAnsi="Times New Roman"/>
          <w:b w:val="0"/>
          <w:sz w:val="28"/>
          <w:szCs w:val="28"/>
        </w:rPr>
        <w:t>五、相关服务要求</w:t>
      </w:r>
      <w:bookmarkEnd w:id="388"/>
    </w:p>
    <w:p w14:paraId="5E96947D">
      <w:pPr>
        <w:spacing w:line="400" w:lineRule="exact"/>
        <w:jc w:val="center"/>
        <w:rPr>
          <w:rFonts w:ascii="Times New Roman" w:hAnsi="Times New Roman"/>
        </w:rPr>
      </w:pPr>
      <w:r>
        <w:rPr>
          <w:rFonts w:ascii="Times New Roman" w:hAnsi="Times New Roman"/>
        </w:rPr>
        <w:br w:type="page"/>
      </w:r>
    </w:p>
    <w:p w14:paraId="6C078940">
      <w:pPr>
        <w:pStyle w:val="2"/>
        <w:jc w:val="center"/>
      </w:pPr>
      <w:bookmarkStart w:id="389" w:name="_Toc23848"/>
      <w:r>
        <w:t>第</w:t>
      </w:r>
      <w:r>
        <w:rPr>
          <w:rFonts w:hint="eastAsia"/>
          <w:lang w:val="en-US" w:eastAsia="zh-CN"/>
        </w:rPr>
        <w:t>六</w:t>
      </w:r>
      <w:r>
        <w:t>章投标文件格式</w:t>
      </w:r>
      <w:bookmarkEnd w:id="389"/>
    </w:p>
    <w:p w14:paraId="315D1867">
      <w:pPr>
        <w:spacing w:line="400" w:lineRule="exact"/>
        <w:rPr>
          <w:rFonts w:ascii="Times New Roman" w:hAnsi="Times New Roman"/>
        </w:rPr>
      </w:pPr>
    </w:p>
    <w:p w14:paraId="1ADAB750">
      <w:pPr>
        <w:spacing w:line="400" w:lineRule="exact"/>
        <w:rPr>
          <w:rFonts w:ascii="Times New Roman" w:hAnsi="Times New Roman"/>
        </w:rPr>
      </w:pPr>
      <w:r>
        <w:rPr>
          <w:rFonts w:ascii="Times New Roman" w:hAnsi="Times New Roman"/>
        </w:rPr>
        <w:br w:type="page"/>
      </w:r>
    </w:p>
    <w:p w14:paraId="1EE4ECA5">
      <w:pPr>
        <w:spacing w:line="540" w:lineRule="exact"/>
        <w:rPr>
          <w:rFonts w:hint="eastAsia" w:ascii="仿宋_GB2312" w:eastAsia="仿宋_GB2312"/>
          <w:sz w:val="28"/>
          <w:szCs w:val="28"/>
        </w:rPr>
      </w:pPr>
    </w:p>
    <w:p w14:paraId="3B9761BC">
      <w:pPr>
        <w:spacing w:line="540" w:lineRule="exact"/>
        <w:ind w:firstLine="437"/>
        <w:rPr>
          <w:rFonts w:hint="eastAsia" w:ascii="仿宋_GB2312" w:eastAsia="仿宋_GB2312"/>
          <w:sz w:val="28"/>
          <w:szCs w:val="28"/>
        </w:rPr>
      </w:pPr>
    </w:p>
    <w:p w14:paraId="7B0BAAA2">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eastAsia="仿宋_GB2312"/>
          <w:sz w:val="28"/>
          <w:szCs w:val="28"/>
          <w:lang w:val="en-US" w:eastAsia="zh-CN"/>
        </w:rPr>
      </w:pPr>
      <w:r>
        <w:rPr>
          <w:rFonts w:hint="eastAsia" w:ascii="黑体" w:hAnsi="宋体" w:eastAsia="黑体" w:cs="Times New Roman"/>
          <w:sz w:val="32"/>
          <w:szCs w:val="32"/>
          <w:lang w:val="en-US" w:eastAsia="zh-CN"/>
        </w:rPr>
        <w:t>标段名称：</w:t>
      </w:r>
      <w:r>
        <w:rPr>
          <w:rFonts w:hint="eastAsia" w:ascii="宋体" w:hAnsi="宋体"/>
          <w:sz w:val="32"/>
          <w:szCs w:val="32"/>
          <w:u w:val="single"/>
        </w:rPr>
        <w:t xml:space="preserve">        </w:t>
      </w:r>
      <w:r>
        <w:rPr>
          <w:rFonts w:hint="eastAsia" w:ascii="宋体" w:hAnsi="宋体"/>
          <w:sz w:val="32"/>
          <w:szCs w:val="32"/>
          <w:u w:val="single"/>
          <w:lang w:val="en-US" w:eastAsia="zh-CN"/>
        </w:rPr>
        <w:t xml:space="preserve">                 </w:t>
      </w:r>
      <w:r>
        <w:rPr>
          <w:rFonts w:hint="eastAsia" w:ascii="宋体" w:hAnsi="宋体"/>
          <w:sz w:val="32"/>
          <w:szCs w:val="32"/>
          <w:u w:val="single"/>
        </w:rPr>
        <w:t xml:space="preserve">     </w:t>
      </w:r>
      <w:r>
        <w:rPr>
          <w:rFonts w:hint="eastAsia" w:ascii="宋体" w:hAnsi="宋体"/>
          <w:sz w:val="32"/>
          <w:szCs w:val="32"/>
          <w:u w:val="single"/>
          <w:lang w:val="en-US" w:eastAsia="zh-CN"/>
        </w:rPr>
        <w:t xml:space="preserve">  </w:t>
      </w:r>
      <w:r>
        <w:rPr>
          <w:rFonts w:hint="eastAsia" w:ascii="宋体" w:hAnsi="宋体"/>
          <w:sz w:val="32"/>
          <w:szCs w:val="32"/>
          <w:u w:val="single"/>
        </w:rPr>
        <w:t xml:space="preserve">   </w:t>
      </w:r>
    </w:p>
    <w:p w14:paraId="1F3C2ADD">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仿宋_GB2312" w:eastAsia="仿宋_GB2312"/>
          <w:sz w:val="28"/>
          <w:szCs w:val="28"/>
          <w:lang w:val="en-US" w:eastAsia="zh-CN"/>
        </w:rPr>
      </w:pPr>
      <w:r>
        <w:rPr>
          <w:rFonts w:hint="eastAsia" w:ascii="黑体" w:hAnsi="宋体" w:eastAsia="黑体" w:cs="Times New Roman"/>
          <w:sz w:val="32"/>
          <w:szCs w:val="32"/>
          <w:lang w:val="en-US" w:eastAsia="zh-CN"/>
        </w:rPr>
        <w:t>标段编号：</w:t>
      </w:r>
      <w:r>
        <w:rPr>
          <w:rFonts w:hint="eastAsia" w:ascii="宋体" w:hAnsi="宋体"/>
          <w:sz w:val="32"/>
          <w:szCs w:val="32"/>
          <w:u w:val="single"/>
        </w:rPr>
        <w:t xml:space="preserve">        </w:t>
      </w:r>
      <w:r>
        <w:rPr>
          <w:rFonts w:hint="eastAsia" w:ascii="宋体" w:hAnsi="宋体"/>
          <w:sz w:val="32"/>
          <w:szCs w:val="32"/>
          <w:u w:val="single"/>
          <w:lang w:val="en-US" w:eastAsia="zh-CN"/>
        </w:rPr>
        <w:t xml:space="preserve">                   </w:t>
      </w:r>
      <w:r>
        <w:rPr>
          <w:rFonts w:hint="eastAsia" w:ascii="宋体" w:hAnsi="宋体"/>
          <w:sz w:val="32"/>
          <w:szCs w:val="32"/>
          <w:u w:val="single"/>
        </w:rPr>
        <w:t xml:space="preserve">        </w:t>
      </w:r>
    </w:p>
    <w:p w14:paraId="6B6A5403">
      <w:pPr>
        <w:spacing w:line="540" w:lineRule="exact"/>
        <w:ind w:firstLine="437"/>
        <w:rPr>
          <w:rFonts w:hint="eastAsia" w:ascii="仿宋_GB2312" w:eastAsia="仿宋_GB2312"/>
          <w:sz w:val="28"/>
          <w:szCs w:val="28"/>
        </w:rPr>
      </w:pPr>
    </w:p>
    <w:p w14:paraId="44D49D95">
      <w:pPr>
        <w:jc w:val="center"/>
        <w:rPr>
          <w:rFonts w:hint="eastAsia" w:ascii="黑体" w:eastAsia="黑体"/>
          <w:sz w:val="28"/>
          <w:szCs w:val="28"/>
        </w:rPr>
      </w:pPr>
    </w:p>
    <w:p w14:paraId="1FFF44E1">
      <w:pPr>
        <w:spacing w:before="240" w:beforeLines="100"/>
        <w:jc w:val="center"/>
        <w:rPr>
          <w:rFonts w:hint="eastAsia" w:ascii="黑体" w:eastAsia="黑体"/>
          <w:sz w:val="44"/>
          <w:szCs w:val="44"/>
        </w:rPr>
      </w:pPr>
      <w:r>
        <w:rPr>
          <w:rFonts w:hint="eastAsia" w:ascii="黑体" w:eastAsia="黑体"/>
          <w:sz w:val="44"/>
          <w:szCs w:val="44"/>
        </w:rPr>
        <w:t>投  标  文  件</w:t>
      </w:r>
    </w:p>
    <w:p w14:paraId="3EF49368">
      <w:pPr>
        <w:jc w:val="center"/>
        <w:rPr>
          <w:rFonts w:hint="eastAsia" w:ascii="黑体" w:eastAsia="黑体"/>
          <w:sz w:val="32"/>
          <w:szCs w:val="32"/>
        </w:rPr>
      </w:pPr>
    </w:p>
    <w:p w14:paraId="27DFADE4">
      <w:pPr>
        <w:jc w:val="center"/>
        <w:rPr>
          <w:rFonts w:hint="eastAsia" w:ascii="黑体" w:eastAsia="黑体"/>
          <w:sz w:val="32"/>
          <w:szCs w:val="32"/>
        </w:rPr>
      </w:pPr>
    </w:p>
    <w:p w14:paraId="342A0304">
      <w:pPr>
        <w:jc w:val="center"/>
        <w:rPr>
          <w:rFonts w:hint="eastAsia" w:ascii="黑体" w:eastAsia="黑体"/>
          <w:sz w:val="32"/>
          <w:szCs w:val="32"/>
        </w:rPr>
      </w:pPr>
    </w:p>
    <w:p w14:paraId="26162036">
      <w:pPr>
        <w:jc w:val="center"/>
        <w:rPr>
          <w:rFonts w:hint="eastAsia" w:ascii="黑体" w:eastAsia="黑体"/>
          <w:sz w:val="32"/>
          <w:szCs w:val="32"/>
        </w:rPr>
      </w:pPr>
    </w:p>
    <w:p w14:paraId="31345372">
      <w:pPr>
        <w:jc w:val="center"/>
        <w:rPr>
          <w:rFonts w:hint="eastAsia" w:ascii="黑体" w:eastAsia="黑体"/>
          <w:sz w:val="32"/>
          <w:szCs w:val="32"/>
        </w:rPr>
      </w:pPr>
    </w:p>
    <w:p w14:paraId="4A3E2002">
      <w:pPr>
        <w:jc w:val="center"/>
        <w:rPr>
          <w:rFonts w:hint="eastAsia" w:ascii="黑体" w:eastAsia="黑体"/>
          <w:sz w:val="32"/>
          <w:szCs w:val="32"/>
        </w:rPr>
      </w:pPr>
    </w:p>
    <w:p w14:paraId="14DADFA4">
      <w:pPr>
        <w:jc w:val="center"/>
        <w:rPr>
          <w:rFonts w:hint="eastAsia" w:ascii="黑体" w:eastAsia="黑体"/>
          <w:sz w:val="32"/>
          <w:szCs w:val="32"/>
        </w:rPr>
      </w:pPr>
    </w:p>
    <w:p w14:paraId="0B726AA2">
      <w:pPr>
        <w:jc w:val="center"/>
        <w:rPr>
          <w:rFonts w:hint="eastAsia" w:ascii="黑体" w:eastAsia="黑体"/>
          <w:sz w:val="32"/>
          <w:szCs w:val="32"/>
        </w:rPr>
      </w:pPr>
    </w:p>
    <w:p w14:paraId="46346726">
      <w:pPr>
        <w:jc w:val="center"/>
        <w:rPr>
          <w:rFonts w:hint="eastAsia" w:ascii="黑体" w:eastAsia="黑体"/>
          <w:sz w:val="32"/>
          <w:szCs w:val="32"/>
        </w:rPr>
      </w:pPr>
    </w:p>
    <w:p w14:paraId="5F37BE78">
      <w:pPr>
        <w:jc w:val="center"/>
        <w:rPr>
          <w:rFonts w:hint="eastAsia" w:ascii="黑体" w:eastAsia="黑体"/>
          <w:sz w:val="32"/>
          <w:szCs w:val="32"/>
        </w:rPr>
      </w:pPr>
    </w:p>
    <w:p w14:paraId="02CA020A">
      <w:pPr>
        <w:jc w:val="center"/>
        <w:rPr>
          <w:rFonts w:hint="eastAsia" w:ascii="黑体" w:eastAsia="黑体"/>
          <w:sz w:val="32"/>
          <w:szCs w:val="32"/>
        </w:rPr>
      </w:pPr>
    </w:p>
    <w:p w14:paraId="7AAA43DA">
      <w:pPr>
        <w:jc w:val="center"/>
        <w:rPr>
          <w:rFonts w:hint="eastAsia" w:ascii="黑体" w:eastAsia="黑体"/>
          <w:sz w:val="32"/>
          <w:szCs w:val="32"/>
        </w:rPr>
      </w:pPr>
    </w:p>
    <w:p w14:paraId="10615C07">
      <w:pPr>
        <w:jc w:val="center"/>
        <w:rPr>
          <w:rFonts w:hint="eastAsia" w:ascii="黑体" w:eastAsia="黑体"/>
          <w:sz w:val="32"/>
          <w:szCs w:val="32"/>
        </w:rPr>
      </w:pPr>
    </w:p>
    <w:p w14:paraId="7FAF317E">
      <w:pPr>
        <w:jc w:val="center"/>
        <w:rPr>
          <w:rFonts w:hint="eastAsia" w:ascii="黑体" w:eastAsia="黑体"/>
          <w:sz w:val="32"/>
          <w:szCs w:val="32"/>
        </w:rPr>
      </w:pPr>
    </w:p>
    <w:p w14:paraId="7D547386">
      <w:pPr>
        <w:jc w:val="center"/>
        <w:rPr>
          <w:rFonts w:hint="eastAsia" w:ascii="黑体" w:eastAsia="黑体"/>
          <w:sz w:val="32"/>
          <w:szCs w:val="32"/>
        </w:rPr>
      </w:pPr>
    </w:p>
    <w:p w14:paraId="1B28473A">
      <w:pPr>
        <w:spacing w:line="360" w:lineRule="auto"/>
        <w:jc w:val="center"/>
        <w:rPr>
          <w:rFonts w:hint="eastAsia" w:ascii="黑体" w:eastAsia="黑体"/>
          <w:sz w:val="28"/>
          <w:szCs w:val="28"/>
        </w:rPr>
      </w:pPr>
      <w:r>
        <w:rPr>
          <w:rFonts w:hint="eastAsia" w:ascii="黑体" w:eastAsia="黑体"/>
          <w:sz w:val="28"/>
          <w:szCs w:val="28"/>
        </w:rPr>
        <w:t>投标人：</w:t>
      </w:r>
      <w:r>
        <w:rPr>
          <w:rFonts w:hint="eastAsia" w:ascii="黑体" w:eastAsia="黑体"/>
          <w:sz w:val="28"/>
          <w:szCs w:val="28"/>
          <w:u w:val="single"/>
        </w:rPr>
        <w:t xml:space="preserve">                               </w:t>
      </w:r>
      <w:r>
        <w:rPr>
          <w:rFonts w:hint="eastAsia" w:ascii="黑体" w:eastAsia="黑体"/>
          <w:sz w:val="28"/>
          <w:szCs w:val="28"/>
        </w:rPr>
        <w:t>（盖单位章）</w:t>
      </w:r>
    </w:p>
    <w:p w14:paraId="376874C3">
      <w:pPr>
        <w:spacing w:line="360" w:lineRule="auto"/>
        <w:jc w:val="center"/>
        <w:rPr>
          <w:rFonts w:hint="eastAsia" w:ascii="黑体" w:eastAsia="黑体"/>
          <w:sz w:val="28"/>
          <w:szCs w:val="28"/>
        </w:rPr>
      </w:pPr>
      <w:r>
        <w:rPr>
          <w:rFonts w:hint="eastAsia" w:ascii="黑体" w:eastAsia="黑体"/>
          <w:sz w:val="28"/>
          <w:szCs w:val="28"/>
        </w:rPr>
        <w:t>法定代表人或其委托代理人：</w:t>
      </w:r>
      <w:r>
        <w:rPr>
          <w:rFonts w:hint="eastAsia" w:ascii="黑体" w:eastAsia="黑体"/>
          <w:sz w:val="28"/>
          <w:szCs w:val="28"/>
          <w:u w:val="single"/>
        </w:rPr>
        <w:t xml:space="preserve">                 </w:t>
      </w:r>
      <w:r>
        <w:rPr>
          <w:rFonts w:hint="eastAsia" w:ascii="黑体" w:eastAsia="黑体"/>
          <w:sz w:val="28"/>
          <w:szCs w:val="28"/>
        </w:rPr>
        <w:t>（签字）</w:t>
      </w:r>
    </w:p>
    <w:p w14:paraId="7383C06B">
      <w:pPr>
        <w:jc w:val="center"/>
        <w:rPr>
          <w:rFonts w:hint="eastAsia" w:ascii="黑体" w:eastAsia="黑体"/>
          <w:sz w:val="28"/>
          <w:szCs w:val="28"/>
        </w:rPr>
      </w:pPr>
    </w:p>
    <w:p w14:paraId="5C48670E">
      <w:pPr>
        <w:jc w:val="center"/>
        <w:rPr>
          <w:rFonts w:hint="eastAsia" w:ascii="黑体" w:eastAsia="黑体"/>
          <w:sz w:val="28"/>
          <w:szCs w:val="28"/>
        </w:rPr>
      </w:pPr>
    </w:p>
    <w:p w14:paraId="2F67D2CC">
      <w:pPr>
        <w:jc w:val="center"/>
        <w:rPr>
          <w:rFonts w:hint="eastAsia" w:ascii="黑体" w:eastAsia="黑体"/>
          <w:sz w:val="28"/>
          <w:szCs w:val="28"/>
        </w:rPr>
      </w:pPr>
      <w:r>
        <w:rPr>
          <w:rFonts w:hint="eastAsia" w:ascii="黑体" w:eastAsia="黑体"/>
          <w:sz w:val="28"/>
          <w:szCs w:val="28"/>
          <w:u w:val="single"/>
        </w:rPr>
        <w:t xml:space="preserve">         </w:t>
      </w:r>
      <w:r>
        <w:rPr>
          <w:rFonts w:hint="eastAsia" w:ascii="黑体" w:eastAsia="黑体"/>
          <w:sz w:val="28"/>
          <w:szCs w:val="28"/>
        </w:rPr>
        <w:t>年</w:t>
      </w:r>
      <w:r>
        <w:rPr>
          <w:rFonts w:hint="eastAsia" w:ascii="黑体" w:eastAsia="黑体"/>
          <w:sz w:val="28"/>
          <w:szCs w:val="28"/>
          <w:u w:val="single"/>
        </w:rPr>
        <w:t xml:space="preserve">         </w:t>
      </w:r>
      <w:r>
        <w:rPr>
          <w:rFonts w:hint="eastAsia" w:ascii="黑体" w:eastAsia="黑体"/>
          <w:sz w:val="28"/>
          <w:szCs w:val="28"/>
        </w:rPr>
        <w:t>月</w:t>
      </w:r>
      <w:r>
        <w:rPr>
          <w:rFonts w:hint="eastAsia" w:ascii="黑体" w:eastAsia="黑体"/>
          <w:sz w:val="28"/>
          <w:szCs w:val="28"/>
          <w:u w:val="single"/>
        </w:rPr>
        <w:t xml:space="preserve">         </w:t>
      </w:r>
      <w:r>
        <w:rPr>
          <w:rFonts w:hint="eastAsia" w:ascii="黑体" w:eastAsia="黑体"/>
          <w:sz w:val="28"/>
          <w:szCs w:val="28"/>
        </w:rPr>
        <w:t>日</w:t>
      </w:r>
    </w:p>
    <w:p w14:paraId="41E39266">
      <w:pPr>
        <w:spacing w:line="400" w:lineRule="exact"/>
        <w:jc w:val="center"/>
        <w:rPr>
          <w:rFonts w:ascii="Times New Roman" w:hAnsi="Times New Roman"/>
          <w:color w:val="000000"/>
        </w:rPr>
      </w:pPr>
      <w:r>
        <w:rPr>
          <w:rFonts w:ascii="黑体" w:eastAsia="黑体"/>
          <w:sz w:val="28"/>
          <w:szCs w:val="28"/>
        </w:rPr>
        <w:br w:type="page"/>
      </w:r>
    </w:p>
    <w:p w14:paraId="3621B584">
      <w:pPr>
        <w:pStyle w:val="3"/>
        <w:jc w:val="center"/>
        <w:rPr>
          <w:rFonts w:ascii="Times New Roman" w:hAnsi="Times New Roman"/>
          <w:color w:val="000000"/>
        </w:rPr>
      </w:pPr>
      <w:bookmarkStart w:id="390" w:name="_Toc16562"/>
      <w:r>
        <w:rPr>
          <w:rFonts w:ascii="Times New Roman" w:hAnsi="Times New Roman"/>
          <w:color w:val="000000"/>
        </w:rPr>
        <w:t>目录</w:t>
      </w:r>
      <w:bookmarkEnd w:id="390"/>
    </w:p>
    <w:p w14:paraId="2914B95C">
      <w:pPr>
        <w:spacing w:line="540" w:lineRule="exact"/>
        <w:rPr>
          <w:rFonts w:ascii="Times New Roman" w:hAnsi="Times New Roman"/>
          <w:color w:val="000000"/>
        </w:rPr>
      </w:pPr>
    </w:p>
    <w:p w14:paraId="6B397A73">
      <w:pPr>
        <w:spacing w:line="540" w:lineRule="exact"/>
        <w:rPr>
          <w:rFonts w:ascii="Times New Roman" w:hAnsi="Times New Roman"/>
        </w:rPr>
      </w:pPr>
      <w:r>
        <w:rPr>
          <w:rFonts w:ascii="Times New Roman" w:hAnsi="Times New Roman"/>
        </w:rPr>
        <w:t>一、投标函</w:t>
      </w:r>
    </w:p>
    <w:p w14:paraId="7D8044B5">
      <w:pPr>
        <w:spacing w:line="540" w:lineRule="exact"/>
        <w:rPr>
          <w:rFonts w:ascii="Times New Roman" w:hAnsi="Times New Roman"/>
        </w:rPr>
      </w:pPr>
      <w:r>
        <w:rPr>
          <w:rFonts w:ascii="Times New Roman" w:hAnsi="Times New Roman"/>
        </w:rPr>
        <w:t>二、</w:t>
      </w:r>
      <w:r>
        <w:rPr>
          <w:rFonts w:hint="eastAsia" w:ascii="宋体" w:hAnsi="宋体"/>
          <w:szCs w:val="21"/>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身份证明</w:t>
      </w:r>
      <w:r>
        <w:rPr>
          <w:rFonts w:hint="eastAsia" w:ascii="宋体" w:hAnsi="宋体"/>
          <w:szCs w:val="21"/>
          <w:lang w:val="en-US" w:eastAsia="zh-CN"/>
        </w:rPr>
        <w:t>或授权委托书</w:t>
      </w:r>
    </w:p>
    <w:p w14:paraId="15EB9F70">
      <w:pPr>
        <w:spacing w:line="540" w:lineRule="exact"/>
        <w:rPr>
          <w:rFonts w:ascii="Times New Roman" w:hAnsi="Times New Roman"/>
        </w:rPr>
      </w:pPr>
      <w:r>
        <w:rPr>
          <w:rFonts w:ascii="Times New Roman" w:hAnsi="Times New Roman"/>
        </w:rPr>
        <w:t>三、联合体协议书</w:t>
      </w:r>
    </w:p>
    <w:p w14:paraId="135B46DB">
      <w:pPr>
        <w:spacing w:line="540" w:lineRule="exact"/>
        <w:rPr>
          <w:rFonts w:ascii="Times New Roman" w:hAnsi="Times New Roman"/>
        </w:rPr>
      </w:pPr>
      <w:r>
        <w:rPr>
          <w:rFonts w:ascii="Times New Roman" w:hAnsi="Times New Roman"/>
        </w:rPr>
        <w:t>四、投标保证金</w:t>
      </w:r>
    </w:p>
    <w:p w14:paraId="1897A7FF">
      <w:pPr>
        <w:spacing w:line="540" w:lineRule="exact"/>
        <w:rPr>
          <w:rFonts w:ascii="Times New Roman" w:hAnsi="Times New Roman"/>
        </w:rPr>
      </w:pPr>
      <w:r>
        <w:rPr>
          <w:rFonts w:ascii="Times New Roman" w:hAnsi="Times New Roman"/>
        </w:rPr>
        <w:t>五、商务和技术偏差表</w:t>
      </w:r>
    </w:p>
    <w:p w14:paraId="76C66F98">
      <w:pPr>
        <w:spacing w:line="540" w:lineRule="exact"/>
        <w:rPr>
          <w:rFonts w:ascii="Times New Roman" w:hAnsi="Times New Roman"/>
        </w:rPr>
      </w:pPr>
      <w:r>
        <w:rPr>
          <w:rFonts w:ascii="Times New Roman" w:hAnsi="Times New Roman"/>
        </w:rPr>
        <w:t>六、分项报价表</w:t>
      </w:r>
    </w:p>
    <w:p w14:paraId="348E678E">
      <w:pPr>
        <w:spacing w:line="540" w:lineRule="exact"/>
        <w:rPr>
          <w:rFonts w:ascii="Times New Roman" w:hAnsi="Times New Roman"/>
        </w:rPr>
      </w:pPr>
      <w:r>
        <w:rPr>
          <w:rFonts w:ascii="Times New Roman" w:hAnsi="Times New Roman"/>
        </w:rPr>
        <w:t>七、资格审查资料</w:t>
      </w:r>
    </w:p>
    <w:p w14:paraId="143017A1">
      <w:pPr>
        <w:spacing w:line="540" w:lineRule="exact"/>
        <w:rPr>
          <w:rFonts w:ascii="Times New Roman" w:hAnsi="Times New Roman"/>
        </w:rPr>
      </w:pPr>
      <w:r>
        <w:rPr>
          <w:rFonts w:ascii="Times New Roman" w:hAnsi="Times New Roman"/>
        </w:rPr>
        <w:t>八、投标材料质量标准的详细描述</w:t>
      </w:r>
    </w:p>
    <w:p w14:paraId="17072AED">
      <w:pPr>
        <w:spacing w:line="540" w:lineRule="exact"/>
        <w:rPr>
          <w:rFonts w:ascii="Times New Roman" w:hAnsi="Times New Roman"/>
        </w:rPr>
      </w:pPr>
      <w:bookmarkStart w:id="391" w:name="_Toc300835204"/>
      <w:bookmarkStart w:id="392" w:name="_Toc247514232"/>
      <w:bookmarkStart w:id="393" w:name="_Toc247527819"/>
      <w:r>
        <w:rPr>
          <w:rFonts w:ascii="Times New Roman" w:hAnsi="Times New Roman"/>
        </w:rPr>
        <w:t>九、技</w:t>
      </w:r>
      <w:bookmarkStart w:id="394" w:name="_Toc369531690"/>
      <w:bookmarkStart w:id="395" w:name="_Toc15118"/>
      <w:r>
        <w:rPr>
          <w:rFonts w:ascii="Times New Roman" w:hAnsi="Times New Roman"/>
        </w:rPr>
        <w:t>术支持</w:t>
      </w:r>
      <w:bookmarkEnd w:id="391"/>
      <w:bookmarkEnd w:id="392"/>
      <w:bookmarkEnd w:id="393"/>
      <w:bookmarkEnd w:id="394"/>
      <w:r>
        <w:rPr>
          <w:rFonts w:ascii="Times New Roman" w:hAnsi="Times New Roman"/>
        </w:rPr>
        <w:t>资</w:t>
      </w:r>
      <w:bookmarkEnd w:id="395"/>
      <w:r>
        <w:rPr>
          <w:rFonts w:ascii="Times New Roman" w:hAnsi="Times New Roman"/>
        </w:rPr>
        <w:t>料</w:t>
      </w:r>
    </w:p>
    <w:p w14:paraId="55EDF378">
      <w:pPr>
        <w:spacing w:line="540" w:lineRule="exact"/>
        <w:rPr>
          <w:rFonts w:ascii="Times New Roman" w:hAnsi="Times New Roman"/>
        </w:rPr>
      </w:pPr>
      <w:r>
        <w:rPr>
          <w:rFonts w:ascii="Times New Roman" w:hAnsi="Times New Roman"/>
        </w:rPr>
        <w:t>十、相关服务计划</w:t>
      </w:r>
    </w:p>
    <w:p w14:paraId="6DBA9AAB">
      <w:pPr>
        <w:spacing w:line="540" w:lineRule="exact"/>
        <w:rPr>
          <w:rFonts w:ascii="Times New Roman" w:hAnsi="Times New Roman"/>
        </w:rPr>
      </w:pPr>
      <w:bookmarkStart w:id="396" w:name="_Toc7039"/>
      <w:bookmarkStart w:id="397" w:name="_Toc352691655"/>
      <w:bookmarkStart w:id="398" w:name="_Toc369531691"/>
      <w:r>
        <w:rPr>
          <w:rFonts w:ascii="Times New Roman" w:hAnsi="Times New Roman"/>
        </w:rPr>
        <w:t>十一、</w:t>
      </w:r>
      <w:r>
        <w:rPr>
          <w:rFonts w:hint="eastAsia" w:ascii="宋体" w:hAnsi="宋体"/>
          <w:szCs w:val="21"/>
          <w:lang w:val="en-US" w:eastAsia="zh-CN"/>
        </w:rPr>
        <w:t>投标人须知前附表规定的</w:t>
      </w:r>
      <w:r>
        <w:rPr>
          <w:rFonts w:ascii="Times New Roman" w:hAnsi="Times New Roman"/>
        </w:rPr>
        <w:t>其他资料</w:t>
      </w:r>
    </w:p>
    <w:p w14:paraId="02BBBC65">
      <w:pPr>
        <w:spacing w:line="540" w:lineRule="exact"/>
        <w:rPr>
          <w:rFonts w:ascii="Times New Roman" w:hAnsi="Times New Roman" w:eastAsia="黑体"/>
          <w:sz w:val="20"/>
        </w:rPr>
      </w:pPr>
      <w:r>
        <w:rPr>
          <w:rFonts w:ascii="Times New Roman" w:hAnsi="Times New Roman"/>
        </w:rPr>
        <w:br w:type="page"/>
      </w:r>
    </w:p>
    <w:bookmarkEnd w:id="396"/>
    <w:bookmarkEnd w:id="397"/>
    <w:bookmarkEnd w:id="398"/>
    <w:p w14:paraId="535E09B0">
      <w:pPr>
        <w:pStyle w:val="3"/>
        <w:jc w:val="center"/>
        <w:rPr>
          <w:rFonts w:ascii="Times New Roman" w:hAnsi="Times New Roman"/>
        </w:rPr>
      </w:pPr>
      <w:bookmarkStart w:id="399" w:name="_Toc31396"/>
      <w:r>
        <w:rPr>
          <w:rFonts w:ascii="Times New Roman" w:hAnsi="Times New Roman"/>
        </w:rPr>
        <w:t>一、投标</w:t>
      </w:r>
      <w:bookmarkStart w:id="400" w:name="_Toc369531692"/>
      <w:bookmarkStart w:id="401" w:name="_Toc352691656"/>
      <w:bookmarkStart w:id="402" w:name="_Toc6931"/>
      <w:r>
        <w:rPr>
          <w:rFonts w:ascii="Times New Roman" w:hAnsi="Times New Roman"/>
        </w:rPr>
        <w:t>函</w:t>
      </w:r>
      <w:bookmarkEnd w:id="399"/>
    </w:p>
    <w:bookmarkEnd w:id="400"/>
    <w:bookmarkEnd w:id="401"/>
    <w:bookmarkEnd w:id="402"/>
    <w:p w14:paraId="4AA00B35">
      <w:pPr>
        <w:spacing w:line="440" w:lineRule="exact"/>
        <w:rPr>
          <w:rFonts w:ascii="Times New Roman" w:hAnsi="Times New Roman"/>
          <w:szCs w:val="21"/>
        </w:rPr>
      </w:pPr>
      <w:r>
        <w:rPr>
          <w:rFonts w:ascii="Times New Roman" w:hAnsi="Times New Roman"/>
          <w:u w:val="single"/>
        </w:rPr>
        <w:t xml:space="preserve">                  </w:t>
      </w:r>
      <w:r>
        <w:rPr>
          <w:rFonts w:ascii="Times New Roman" w:hAnsi="Times New Roman"/>
          <w:szCs w:val="21"/>
        </w:rPr>
        <w:t>（招标人名称）：</w:t>
      </w:r>
    </w:p>
    <w:p w14:paraId="27452F17">
      <w:pPr>
        <w:spacing w:line="440" w:lineRule="exact"/>
        <w:ind w:firstLine="420" w:firstLineChars="200"/>
        <w:rPr>
          <w:rFonts w:ascii="Times New Roman" w:hAnsi="Times New Roman"/>
          <w:szCs w:val="21"/>
        </w:rPr>
      </w:pPr>
      <w:r>
        <w:rPr>
          <w:rFonts w:ascii="Times New Roman" w:hAnsi="Times New Roman"/>
          <w:szCs w:val="21"/>
        </w:rPr>
        <w:t>1．我方已仔细研究了</w:t>
      </w:r>
      <w:r>
        <w:rPr>
          <w:rFonts w:ascii="Times New Roman" w:hAnsi="Times New Roman"/>
          <w:u w:val="single"/>
        </w:rPr>
        <w:t xml:space="preserve">                  </w:t>
      </w:r>
      <w:r>
        <w:rPr>
          <w:rFonts w:ascii="Times New Roman" w:hAnsi="Times New Roman"/>
          <w:color w:val="000000"/>
        </w:rPr>
        <w:t>（项目名称）材料采购招标项目</w:t>
      </w:r>
      <w:r>
        <w:rPr>
          <w:rFonts w:ascii="Times New Roman" w:hAnsi="Times New Roman"/>
          <w:szCs w:val="21"/>
        </w:rPr>
        <w:t>招标文件的全部内容，愿意以人民币（大写）</w:t>
      </w:r>
      <w:r>
        <w:rPr>
          <w:rFonts w:ascii="Times New Roman" w:hAnsi="Times New Roman"/>
          <w:u w:val="single"/>
        </w:rPr>
        <w:t xml:space="preserve">               </w:t>
      </w:r>
      <w:r>
        <w:rPr>
          <w:rFonts w:ascii="Times New Roman" w:hAnsi="Times New Roman"/>
          <w:szCs w:val="21"/>
        </w:rPr>
        <w:t>（¥</w:t>
      </w:r>
      <w:r>
        <w:rPr>
          <w:rFonts w:ascii="Times New Roman" w:hAnsi="Times New Roman"/>
          <w:u w:val="single"/>
        </w:rPr>
        <w:t xml:space="preserve">               </w:t>
      </w:r>
      <w:r>
        <w:rPr>
          <w:rFonts w:ascii="Times New Roman" w:hAnsi="Times New Roman"/>
          <w:szCs w:val="21"/>
        </w:rPr>
        <w:t>）的投标总报价（其中，增值税税率为</w:t>
      </w:r>
      <w:r>
        <w:rPr>
          <w:rFonts w:ascii="Times New Roman" w:hAnsi="Times New Roman" w:eastAsia="黑体"/>
          <w:color w:val="000000"/>
          <w:sz w:val="28"/>
          <w:u w:val="single"/>
        </w:rPr>
        <w:t xml:space="preserve">         </w:t>
      </w:r>
      <w:r>
        <w:rPr>
          <w:rFonts w:ascii="Times New Roman" w:hAnsi="Times New Roman" w:eastAsia="黑体"/>
          <w:color w:val="000000"/>
          <w:sz w:val="28"/>
        </w:rPr>
        <w:t>）</w:t>
      </w:r>
      <w:r>
        <w:rPr>
          <w:rFonts w:ascii="Times New Roman" w:hAnsi="Times New Roman"/>
          <w:szCs w:val="21"/>
        </w:rPr>
        <w:t>提供</w:t>
      </w:r>
      <w:r>
        <w:rPr>
          <w:rFonts w:ascii="Times New Roman" w:hAnsi="Times New Roman"/>
          <w:u w:val="single"/>
        </w:rPr>
        <w:t xml:space="preserve">                 </w:t>
      </w:r>
      <w:r>
        <w:rPr>
          <w:rFonts w:ascii="Times New Roman" w:hAnsi="Times New Roman"/>
          <w:szCs w:val="21"/>
        </w:rPr>
        <w:t>（材料名称及相关服务），并按合同约定履行义务。</w:t>
      </w:r>
    </w:p>
    <w:p w14:paraId="2D820278">
      <w:pPr>
        <w:spacing w:line="440" w:lineRule="exact"/>
        <w:ind w:firstLine="420" w:firstLineChars="200"/>
        <w:rPr>
          <w:rFonts w:ascii="Times New Roman" w:hAnsi="Times New Roman"/>
          <w:szCs w:val="21"/>
        </w:rPr>
      </w:pPr>
      <w:r>
        <w:rPr>
          <w:rFonts w:ascii="Times New Roman" w:hAnsi="Times New Roman"/>
          <w:szCs w:val="21"/>
        </w:rPr>
        <w:t>2. 我方的投标文件包括下列内容：</w:t>
      </w:r>
    </w:p>
    <w:p w14:paraId="1D576C68">
      <w:pPr>
        <w:spacing w:line="400" w:lineRule="exact"/>
        <w:ind w:firstLine="405"/>
        <w:rPr>
          <w:rFonts w:ascii="Times New Roman" w:hAnsi="Times New Roman"/>
        </w:rPr>
      </w:pPr>
      <w:r>
        <w:rPr>
          <w:rFonts w:ascii="Times New Roman" w:hAnsi="Times New Roman"/>
        </w:rPr>
        <w:t>（1）投标函；</w:t>
      </w:r>
    </w:p>
    <w:p w14:paraId="69CF502D">
      <w:pPr>
        <w:spacing w:line="400" w:lineRule="exact"/>
        <w:ind w:firstLine="405"/>
        <w:rPr>
          <w:rFonts w:ascii="Times New Roman" w:hAnsi="Times New Roman"/>
        </w:rPr>
      </w:pPr>
      <w:r>
        <w:rPr>
          <w:rFonts w:ascii="Times New Roman" w:hAnsi="Times New Roman"/>
        </w:rPr>
        <w:t>（2）法定代表人身份证明或授权委托书；</w:t>
      </w:r>
    </w:p>
    <w:p w14:paraId="464C2175">
      <w:pPr>
        <w:spacing w:line="400" w:lineRule="exact"/>
        <w:ind w:firstLine="405"/>
        <w:rPr>
          <w:rFonts w:ascii="Times New Roman" w:hAnsi="Times New Roman"/>
        </w:rPr>
      </w:pPr>
      <w:r>
        <w:rPr>
          <w:rFonts w:ascii="Times New Roman" w:hAnsi="Times New Roman"/>
        </w:rPr>
        <w:t>（3）联合体协议书（如有）；</w:t>
      </w:r>
    </w:p>
    <w:p w14:paraId="6C896DB0">
      <w:pPr>
        <w:spacing w:line="400" w:lineRule="exact"/>
        <w:ind w:firstLine="405"/>
        <w:rPr>
          <w:rFonts w:ascii="Times New Roman" w:hAnsi="Times New Roman"/>
        </w:rPr>
      </w:pPr>
      <w:r>
        <w:rPr>
          <w:rFonts w:ascii="Times New Roman" w:hAnsi="Times New Roman"/>
        </w:rPr>
        <w:t>（4）投标保证金（如有）；</w:t>
      </w:r>
    </w:p>
    <w:p w14:paraId="4FE4E805">
      <w:pPr>
        <w:spacing w:line="400" w:lineRule="exact"/>
        <w:ind w:firstLine="405"/>
        <w:rPr>
          <w:rFonts w:ascii="Times New Roman" w:hAnsi="Times New Roman"/>
        </w:rPr>
      </w:pPr>
      <w:r>
        <w:rPr>
          <w:rFonts w:ascii="Times New Roman" w:hAnsi="Times New Roman"/>
        </w:rPr>
        <w:t>（5）商务和技术偏差表；</w:t>
      </w:r>
    </w:p>
    <w:p w14:paraId="4D21CF34">
      <w:pPr>
        <w:spacing w:line="400" w:lineRule="exact"/>
        <w:ind w:firstLine="405"/>
        <w:rPr>
          <w:rFonts w:ascii="Times New Roman" w:hAnsi="Times New Roman"/>
        </w:rPr>
      </w:pPr>
      <w:r>
        <w:rPr>
          <w:rFonts w:ascii="Times New Roman" w:hAnsi="Times New Roman"/>
        </w:rPr>
        <w:t>（6）分项报价表；</w:t>
      </w:r>
    </w:p>
    <w:p w14:paraId="36470DBE">
      <w:pPr>
        <w:spacing w:line="400" w:lineRule="exact"/>
        <w:ind w:firstLine="405"/>
        <w:rPr>
          <w:rFonts w:ascii="Times New Roman" w:hAnsi="Times New Roman"/>
        </w:rPr>
      </w:pPr>
      <w:r>
        <w:rPr>
          <w:rFonts w:ascii="Times New Roman" w:hAnsi="Times New Roman"/>
        </w:rPr>
        <w:t>（7）资格审查资料；</w:t>
      </w:r>
    </w:p>
    <w:p w14:paraId="2710DEDD">
      <w:pPr>
        <w:spacing w:line="400" w:lineRule="exact"/>
        <w:ind w:firstLine="405"/>
        <w:rPr>
          <w:rFonts w:ascii="Times New Roman" w:hAnsi="Times New Roman"/>
        </w:rPr>
      </w:pPr>
      <w:r>
        <w:rPr>
          <w:rFonts w:ascii="Times New Roman" w:hAnsi="Times New Roman"/>
        </w:rPr>
        <w:t>（8）投标材料质量标准的详细描述；</w:t>
      </w:r>
    </w:p>
    <w:p w14:paraId="5E07254E">
      <w:pPr>
        <w:spacing w:line="400" w:lineRule="exact"/>
        <w:ind w:firstLine="405"/>
        <w:rPr>
          <w:rFonts w:ascii="Times New Roman" w:hAnsi="Times New Roman"/>
        </w:rPr>
      </w:pPr>
      <w:r>
        <w:rPr>
          <w:rFonts w:ascii="Times New Roman" w:hAnsi="Times New Roman"/>
        </w:rPr>
        <w:t>（9）技术支持资料；</w:t>
      </w:r>
    </w:p>
    <w:p w14:paraId="6C6E13EE">
      <w:pPr>
        <w:spacing w:line="400" w:lineRule="exact"/>
        <w:ind w:firstLine="405"/>
        <w:rPr>
          <w:rFonts w:ascii="Times New Roman" w:hAnsi="Times New Roman"/>
        </w:rPr>
      </w:pPr>
      <w:r>
        <w:rPr>
          <w:rFonts w:ascii="Times New Roman" w:hAnsi="Times New Roman"/>
        </w:rPr>
        <w:t>（10）相关服务计划；</w:t>
      </w:r>
    </w:p>
    <w:p w14:paraId="276B4AC5">
      <w:pPr>
        <w:spacing w:line="400" w:lineRule="exact"/>
        <w:ind w:firstLine="420" w:firstLineChars="0"/>
        <w:rPr>
          <w:rFonts w:hint="eastAsia" w:ascii="Times New Roman" w:hAnsi="Times New Roman" w:eastAsia="宋体"/>
          <w:color w:val="000000"/>
          <w:sz w:val="22"/>
          <w:lang w:eastAsia="zh-CN"/>
        </w:rPr>
      </w:pPr>
      <w:r>
        <w:rPr>
          <w:rFonts w:hint="eastAsia" w:ascii="Times New Roman" w:hAnsi="Times New Roman"/>
          <w:color w:val="000000"/>
          <w:sz w:val="22"/>
          <w:lang w:eastAsia="zh-CN"/>
        </w:rPr>
        <w:t>（</w:t>
      </w:r>
      <w:r>
        <w:rPr>
          <w:rFonts w:hint="eastAsia" w:ascii="Times New Roman" w:hAnsi="Times New Roman"/>
          <w:color w:val="000000"/>
          <w:sz w:val="22"/>
          <w:lang w:val="en-US" w:eastAsia="zh-CN"/>
        </w:rPr>
        <w:t>11</w:t>
      </w:r>
      <w:r>
        <w:rPr>
          <w:rFonts w:hint="eastAsia" w:ascii="Times New Roman" w:hAnsi="Times New Roman"/>
          <w:color w:val="000000"/>
          <w:sz w:val="22"/>
          <w:lang w:eastAsia="zh-CN"/>
        </w:rPr>
        <w:t>）</w:t>
      </w:r>
      <w:r>
        <w:rPr>
          <w:rFonts w:hint="eastAsia" w:ascii="宋体" w:hAnsi="宋体"/>
          <w:szCs w:val="21"/>
          <w:lang w:val="en-US" w:eastAsia="zh-CN"/>
        </w:rPr>
        <w:t>投标人须知前附表规定的</w:t>
      </w:r>
      <w:r>
        <w:rPr>
          <w:rFonts w:ascii="Times New Roman" w:hAnsi="Times New Roman"/>
        </w:rPr>
        <w:t>其他资料（如有）</w:t>
      </w:r>
      <w:r>
        <w:rPr>
          <w:rFonts w:hint="eastAsia" w:ascii="Times New Roman" w:hAnsi="Times New Roman"/>
          <w:lang w:eastAsia="zh-CN"/>
        </w:rPr>
        <w:t>；</w:t>
      </w:r>
    </w:p>
    <w:p w14:paraId="4BF0A367">
      <w:pPr>
        <w:spacing w:line="440" w:lineRule="exact"/>
        <w:ind w:firstLine="420" w:firstLineChars="200"/>
        <w:rPr>
          <w:rFonts w:ascii="Times New Roman" w:hAnsi="Times New Roman"/>
          <w:szCs w:val="21"/>
        </w:rPr>
      </w:pPr>
      <w:r>
        <w:rPr>
          <w:rFonts w:ascii="Times New Roman" w:hAnsi="Times New Roman"/>
          <w:szCs w:val="21"/>
        </w:rPr>
        <w:t>投标文件的上述组成部分如存在内容不一致的，以投标函为准。</w:t>
      </w:r>
    </w:p>
    <w:p w14:paraId="039EFFCA">
      <w:pPr>
        <w:spacing w:line="440" w:lineRule="exact"/>
        <w:ind w:firstLine="420" w:firstLineChars="200"/>
        <w:rPr>
          <w:rFonts w:ascii="Times New Roman" w:hAnsi="Times New Roman"/>
          <w:szCs w:val="21"/>
        </w:rPr>
      </w:pPr>
      <w:r>
        <w:rPr>
          <w:rFonts w:ascii="Times New Roman" w:hAnsi="Times New Roman"/>
          <w:szCs w:val="21"/>
        </w:rPr>
        <w:t>3．我方承诺除</w:t>
      </w:r>
      <w:r>
        <w:rPr>
          <w:rFonts w:ascii="Times New Roman" w:hAnsi="Times New Roman"/>
          <w:color w:val="000000"/>
          <w:sz w:val="22"/>
        </w:rPr>
        <w:t>商务和技术</w:t>
      </w:r>
      <w:r>
        <w:rPr>
          <w:rFonts w:ascii="Times New Roman" w:hAnsi="Times New Roman"/>
          <w:szCs w:val="21"/>
        </w:rPr>
        <w:t>偏差表列出的偏差外，我方响应招标文件的全部要求。</w:t>
      </w:r>
    </w:p>
    <w:p w14:paraId="03BE5A6E">
      <w:pPr>
        <w:spacing w:line="440" w:lineRule="exact"/>
        <w:ind w:firstLine="420" w:firstLineChars="200"/>
        <w:rPr>
          <w:rFonts w:ascii="Times New Roman" w:hAnsi="Times New Roman"/>
          <w:szCs w:val="21"/>
        </w:rPr>
      </w:pPr>
      <w:r>
        <w:rPr>
          <w:rFonts w:ascii="Times New Roman" w:hAnsi="Times New Roman"/>
          <w:szCs w:val="21"/>
        </w:rPr>
        <w:t>4．我方承诺在招标文件规定的投标有效期内不撤销投标文件。</w:t>
      </w:r>
    </w:p>
    <w:p w14:paraId="1568102A">
      <w:pPr>
        <w:spacing w:line="440" w:lineRule="exact"/>
        <w:ind w:firstLine="420" w:firstLineChars="200"/>
        <w:rPr>
          <w:rFonts w:ascii="Times New Roman" w:hAnsi="Times New Roman"/>
          <w:szCs w:val="21"/>
        </w:rPr>
      </w:pPr>
      <w:r>
        <w:rPr>
          <w:rFonts w:ascii="Times New Roman" w:hAnsi="Times New Roman"/>
          <w:szCs w:val="21"/>
        </w:rPr>
        <w:t>5．如我方中标，我方承诺：</w:t>
      </w:r>
    </w:p>
    <w:p w14:paraId="6EEA5CE2">
      <w:pPr>
        <w:spacing w:line="440" w:lineRule="exact"/>
        <w:ind w:left="945" w:leftChars="400" w:hanging="105" w:hangingChars="50"/>
        <w:rPr>
          <w:rFonts w:ascii="Times New Roman" w:hAnsi="Times New Roman"/>
          <w:szCs w:val="21"/>
        </w:rPr>
      </w:pPr>
      <w:r>
        <w:rPr>
          <w:rFonts w:ascii="Times New Roman" w:hAnsi="Times New Roman"/>
          <w:szCs w:val="21"/>
        </w:rPr>
        <w:t>（1）在收到中标通知书后，在中标通知书规定的期限内与你方签订合同；</w:t>
      </w:r>
    </w:p>
    <w:p w14:paraId="0C661853">
      <w:pPr>
        <w:spacing w:line="440" w:lineRule="exact"/>
        <w:ind w:left="945" w:leftChars="400" w:hanging="105" w:hangingChars="50"/>
        <w:rPr>
          <w:rFonts w:ascii="Times New Roman" w:hAnsi="Times New Roman"/>
          <w:szCs w:val="21"/>
        </w:rPr>
      </w:pPr>
      <w:r>
        <w:rPr>
          <w:rFonts w:ascii="Times New Roman" w:hAnsi="Times New Roman"/>
          <w:szCs w:val="21"/>
        </w:rPr>
        <w:t>（2）在签订合同时不向你方提出附加条件；</w:t>
      </w:r>
    </w:p>
    <w:p w14:paraId="67996CA9">
      <w:pPr>
        <w:spacing w:line="440" w:lineRule="exact"/>
        <w:ind w:left="945" w:leftChars="400" w:hanging="105" w:hangingChars="50"/>
        <w:rPr>
          <w:rFonts w:ascii="Times New Roman" w:hAnsi="Times New Roman"/>
          <w:szCs w:val="21"/>
        </w:rPr>
      </w:pPr>
      <w:r>
        <w:rPr>
          <w:rFonts w:ascii="Times New Roman" w:hAnsi="Times New Roman"/>
          <w:szCs w:val="21"/>
        </w:rPr>
        <w:t>（3）按照招标文件要求提交履约保证金；</w:t>
      </w:r>
      <w:bookmarkStart w:id="403" w:name="_Toc352691658"/>
      <w:bookmarkStart w:id="404" w:name="_Toc369531694"/>
      <w:bookmarkStart w:id="405" w:name="_Toc1187"/>
    </w:p>
    <w:p w14:paraId="4BBABDF3">
      <w:pPr>
        <w:spacing w:line="440" w:lineRule="exact"/>
        <w:ind w:left="945" w:leftChars="400" w:hanging="105" w:hangingChars="50"/>
        <w:rPr>
          <w:rFonts w:ascii="Times New Roman" w:hAnsi="Times New Roman"/>
          <w:szCs w:val="21"/>
        </w:rPr>
      </w:pPr>
      <w:r>
        <w:rPr>
          <w:rFonts w:ascii="Times New Roman" w:hAnsi="Times New Roman"/>
          <w:szCs w:val="21"/>
        </w:rPr>
        <w:t>（4）在合</w:t>
      </w:r>
      <w:bookmarkEnd w:id="403"/>
      <w:bookmarkEnd w:id="404"/>
      <w:bookmarkEnd w:id="405"/>
      <w:r>
        <w:rPr>
          <w:rFonts w:ascii="Times New Roman" w:hAnsi="Times New Roman"/>
          <w:szCs w:val="21"/>
        </w:rPr>
        <w:t>同约定的期限内完成合同规定的全部义务。</w:t>
      </w:r>
    </w:p>
    <w:p w14:paraId="4B636FD2">
      <w:pPr>
        <w:spacing w:line="440" w:lineRule="exact"/>
        <w:ind w:firstLine="420" w:firstLineChars="200"/>
        <w:rPr>
          <w:rFonts w:ascii="Times New Roman" w:hAnsi="Times New Roman"/>
          <w:szCs w:val="21"/>
        </w:rPr>
      </w:pPr>
      <w:r>
        <w:rPr>
          <w:rFonts w:ascii="Times New Roman" w:hAnsi="Times New Roman"/>
          <w:szCs w:val="21"/>
        </w:rPr>
        <w:t>6．</w:t>
      </w:r>
      <w:r>
        <w:rPr>
          <w:rFonts w:ascii="Times New Roman" w:hAnsi="Times New Roman"/>
        </w:rPr>
        <w:t>我方在此声明，所递交的投标文件及有关资料内容完整、真实和准确，且不存在第二章“投标人须知”第1.4.3项规定的任何一种情形。</w:t>
      </w:r>
    </w:p>
    <w:p w14:paraId="6304E1E2">
      <w:pPr>
        <w:spacing w:line="440" w:lineRule="exact"/>
        <w:ind w:firstLine="420" w:firstLineChars="200"/>
        <w:rPr>
          <w:rFonts w:ascii="Times New Roman" w:hAnsi="Times New Roman"/>
          <w:szCs w:val="21"/>
        </w:rPr>
      </w:pPr>
      <w:r>
        <w:rPr>
          <w:rFonts w:ascii="Times New Roman" w:hAnsi="Times New Roman"/>
          <w:szCs w:val="21"/>
        </w:rPr>
        <w:t>7．</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rPr>
        <w:t>（其他补充说明）。</w:t>
      </w:r>
    </w:p>
    <w:p w14:paraId="3C010EA9">
      <w:pPr>
        <w:spacing w:line="440" w:lineRule="exact"/>
        <w:ind w:firstLine="420" w:firstLineChars="200"/>
        <w:rPr>
          <w:rFonts w:ascii="Times New Roman" w:hAnsi="Times New Roman"/>
          <w:szCs w:val="21"/>
        </w:rPr>
      </w:pPr>
    </w:p>
    <w:bookmarkEnd w:id="373"/>
    <w:bookmarkEnd w:id="374"/>
    <w:bookmarkEnd w:id="375"/>
    <w:bookmarkEnd w:id="376"/>
    <w:bookmarkEnd w:id="377"/>
    <w:bookmarkEnd w:id="378"/>
    <w:bookmarkEnd w:id="379"/>
    <w:bookmarkEnd w:id="380"/>
    <w:bookmarkEnd w:id="381"/>
    <w:p w14:paraId="0473D6FF">
      <w:pPr>
        <w:spacing w:line="440" w:lineRule="exact"/>
        <w:ind w:firstLine="2520" w:firstLineChars="1200"/>
        <w:jc w:val="left"/>
        <w:rPr>
          <w:rFonts w:ascii="Times New Roman" w:hAnsi="Times New Roman"/>
          <w:szCs w:val="21"/>
        </w:rPr>
      </w:pPr>
      <w:bookmarkStart w:id="406" w:name="_Toc369531695"/>
      <w:bookmarkEnd w:id="406"/>
      <w:bookmarkStart w:id="407" w:name="_Toc352691659"/>
      <w:bookmarkEnd w:id="407"/>
      <w:bookmarkStart w:id="408" w:name="_Toc16568"/>
      <w:bookmarkEnd w:id="408"/>
      <w:bookmarkStart w:id="409" w:name="_Toc16824"/>
      <w:bookmarkEnd w:id="409"/>
      <w:bookmarkStart w:id="410" w:name="_Toc369531696"/>
      <w:bookmarkEnd w:id="410"/>
      <w:bookmarkStart w:id="411" w:name="_Toc352691660"/>
      <w:bookmarkEnd w:id="411"/>
      <w:r>
        <w:rPr>
          <w:rFonts w:ascii="Times New Roman" w:hAnsi="Times New Roman"/>
          <w:szCs w:val="21"/>
        </w:rPr>
        <w:t>投 标 人：</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rPr>
        <w:t>（盖单位章）</w:t>
      </w:r>
    </w:p>
    <w:p w14:paraId="689987FF">
      <w:pPr>
        <w:spacing w:line="440" w:lineRule="exact"/>
        <w:jc w:val="left"/>
        <w:rPr>
          <w:rFonts w:ascii="Times New Roman" w:hAnsi="Times New Roman"/>
          <w:szCs w:val="21"/>
        </w:rPr>
      </w:pPr>
      <w:r>
        <w:rPr>
          <w:rFonts w:ascii="Times New Roman" w:hAnsi="Times New Roman"/>
          <w:color w:val="000000"/>
        </w:rPr>
        <w:t xml:space="preserve">                        法定代表人（单位负责人）</w:t>
      </w:r>
      <w:r>
        <w:rPr>
          <w:rFonts w:ascii="Times New Roman" w:hAnsi="Times New Roman"/>
          <w:szCs w:val="21"/>
        </w:rPr>
        <w:t>或其委托代理人：</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rPr>
        <w:t>（签字）</w:t>
      </w:r>
    </w:p>
    <w:p w14:paraId="07914C7B">
      <w:pPr>
        <w:spacing w:line="440" w:lineRule="exact"/>
        <w:ind w:firstLine="2520" w:firstLineChars="1200"/>
        <w:jc w:val="left"/>
        <w:rPr>
          <w:rFonts w:ascii="Times New Roman" w:hAnsi="Times New Roman"/>
          <w:szCs w:val="21"/>
        </w:rPr>
      </w:pPr>
      <w:r>
        <w:rPr>
          <w:rFonts w:ascii="Times New Roman" w:hAnsi="Times New Roman"/>
          <w:szCs w:val="21"/>
        </w:rPr>
        <w:t>地    址：</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u w:val="single"/>
        </w:rPr>
        <w:t xml:space="preserve">                             </w:t>
      </w:r>
      <w:r>
        <w:rPr>
          <w:rFonts w:ascii="Times New Roman" w:hAnsi="Times New Roman"/>
          <w:szCs w:val="21"/>
          <w:u w:val="single"/>
        </w:rPr>
        <w:tab/>
      </w:r>
    </w:p>
    <w:p w14:paraId="0EDDDC64">
      <w:pPr>
        <w:spacing w:line="440" w:lineRule="exact"/>
        <w:ind w:firstLine="2520" w:firstLineChars="1200"/>
        <w:jc w:val="left"/>
        <w:rPr>
          <w:rFonts w:ascii="Times New Roman" w:hAnsi="Times New Roman"/>
          <w:szCs w:val="21"/>
        </w:rPr>
      </w:pPr>
      <w:r>
        <w:rPr>
          <w:rFonts w:ascii="Times New Roman" w:hAnsi="Times New Roman"/>
          <w:szCs w:val="21"/>
        </w:rPr>
        <w:t>网    址：</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u w:val="single"/>
        </w:rPr>
        <w:t xml:space="preserve">    </w:t>
      </w:r>
    </w:p>
    <w:p w14:paraId="2C3541C3">
      <w:pPr>
        <w:spacing w:line="440" w:lineRule="exact"/>
        <w:ind w:firstLine="2520" w:firstLineChars="1200"/>
        <w:jc w:val="left"/>
        <w:rPr>
          <w:rFonts w:ascii="Times New Roman" w:hAnsi="Times New Roman"/>
          <w:szCs w:val="21"/>
        </w:rPr>
      </w:pPr>
      <w:r>
        <w:rPr>
          <w:rFonts w:ascii="Times New Roman" w:hAnsi="Times New Roman"/>
          <w:szCs w:val="21"/>
        </w:rPr>
        <w:t>电    话：</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u w:val="single"/>
        </w:rPr>
        <w:t xml:space="preserve">    </w:t>
      </w:r>
    </w:p>
    <w:p w14:paraId="22B8DF7C">
      <w:pPr>
        <w:spacing w:line="440" w:lineRule="exact"/>
        <w:ind w:firstLine="2520" w:firstLineChars="1200"/>
        <w:jc w:val="left"/>
        <w:rPr>
          <w:rFonts w:ascii="Times New Roman" w:hAnsi="Times New Roman"/>
          <w:szCs w:val="21"/>
        </w:rPr>
      </w:pPr>
      <w:r>
        <w:rPr>
          <w:rFonts w:ascii="Times New Roman" w:hAnsi="Times New Roman"/>
          <w:szCs w:val="21"/>
        </w:rPr>
        <w:t>传    真：</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u w:val="single"/>
        </w:rPr>
        <w:t xml:space="preserve">                                </w:t>
      </w:r>
    </w:p>
    <w:p w14:paraId="7970C6EA">
      <w:pPr>
        <w:spacing w:line="440" w:lineRule="exact"/>
        <w:ind w:firstLine="2520" w:firstLineChars="1200"/>
        <w:jc w:val="left"/>
        <w:rPr>
          <w:rFonts w:ascii="Times New Roman" w:hAnsi="Times New Roman"/>
          <w:szCs w:val="21"/>
        </w:rPr>
      </w:pPr>
      <w:r>
        <w:rPr>
          <w:rFonts w:ascii="Times New Roman" w:hAnsi="Times New Roman"/>
          <w:szCs w:val="21"/>
        </w:rPr>
        <w:t>邮政编码：</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u w:val="single"/>
        </w:rPr>
        <w:t xml:space="preserve">                                </w:t>
      </w:r>
    </w:p>
    <w:p w14:paraId="0CE536E7">
      <w:pPr>
        <w:spacing w:line="440" w:lineRule="exact"/>
        <w:ind w:firstLine="4725" w:firstLineChars="2250"/>
        <w:jc w:val="right"/>
        <w:rPr>
          <w:rFonts w:ascii="Times New Roman" w:hAnsi="Times New Roman"/>
          <w:szCs w:val="21"/>
        </w:rPr>
      </w:pPr>
      <w:r>
        <w:rPr>
          <w:rFonts w:ascii="Times New Roman" w:hAnsi="Times New Roman"/>
          <w:color w:val="000000"/>
          <w:u w:val="single"/>
        </w:rPr>
        <w:t xml:space="preserve">      </w:t>
      </w:r>
      <w:r>
        <w:rPr>
          <w:rFonts w:ascii="Times New Roman" w:hAnsi="Times New Roman"/>
          <w:szCs w:val="21"/>
        </w:rPr>
        <w:t>年</w:t>
      </w:r>
      <w:r>
        <w:rPr>
          <w:rFonts w:ascii="Times New Roman" w:hAnsi="Times New Roman"/>
          <w:color w:val="000000"/>
          <w:u w:val="single"/>
        </w:rPr>
        <w:t xml:space="preserve">      </w:t>
      </w:r>
      <w:r>
        <w:rPr>
          <w:rFonts w:ascii="Times New Roman" w:hAnsi="Times New Roman"/>
          <w:szCs w:val="21"/>
        </w:rPr>
        <w:t>月</w:t>
      </w:r>
      <w:r>
        <w:rPr>
          <w:rFonts w:ascii="Times New Roman" w:hAnsi="Times New Roman"/>
          <w:color w:val="000000"/>
          <w:u w:val="single"/>
        </w:rPr>
        <w:t xml:space="preserve">      </w:t>
      </w:r>
      <w:r>
        <w:rPr>
          <w:rFonts w:ascii="Times New Roman" w:hAnsi="Times New Roman"/>
          <w:szCs w:val="21"/>
        </w:rPr>
        <w:t>日</w:t>
      </w:r>
    </w:p>
    <w:p w14:paraId="79498674">
      <w:pPr>
        <w:spacing w:line="440" w:lineRule="exact"/>
        <w:rPr>
          <w:rFonts w:ascii="Times New Roman" w:hAnsi="Times New Roman"/>
          <w:szCs w:val="21"/>
        </w:rPr>
      </w:pPr>
    </w:p>
    <w:p w14:paraId="3948F1EE">
      <w:pPr>
        <w:spacing w:line="440" w:lineRule="exact"/>
        <w:rPr>
          <w:rFonts w:ascii="Times New Roman" w:hAnsi="Times New Roman"/>
          <w:szCs w:val="21"/>
        </w:rPr>
      </w:pPr>
    </w:p>
    <w:p w14:paraId="177D5C81">
      <w:pPr>
        <w:spacing w:line="440" w:lineRule="exact"/>
        <w:rPr>
          <w:rFonts w:ascii="Times New Roman" w:hAnsi="Times New Roman" w:eastAsia="黑体"/>
          <w:color w:val="000000"/>
          <w:sz w:val="20"/>
        </w:rPr>
      </w:pPr>
      <w:bookmarkStart w:id="412" w:name="_Toc17960"/>
      <w:bookmarkStart w:id="413" w:name="_Toc152042576"/>
      <w:bookmarkStart w:id="414" w:name="_Toc247527827"/>
      <w:bookmarkStart w:id="415" w:name="_Toc300835209"/>
      <w:bookmarkStart w:id="416" w:name="_Toc369531697"/>
      <w:bookmarkStart w:id="417" w:name="_Toc152045787"/>
      <w:bookmarkStart w:id="418" w:name="_Toc352691661"/>
      <w:bookmarkStart w:id="419" w:name="_Toc361508752"/>
      <w:bookmarkStart w:id="420" w:name="_Toc144974856"/>
      <w:bookmarkStart w:id="421" w:name="_Toc384308375"/>
      <w:bookmarkStart w:id="422" w:name="_Toc247514246"/>
    </w:p>
    <w:p w14:paraId="02187720">
      <w:pPr>
        <w:spacing w:line="440" w:lineRule="exact"/>
        <w:rPr>
          <w:rFonts w:ascii="Times New Roman" w:hAnsi="Times New Roman" w:eastAsia="黑体"/>
          <w:sz w:val="20"/>
        </w:rPr>
      </w:pPr>
      <w:r>
        <w:rPr>
          <w:rFonts w:ascii="Times New Roman" w:hAnsi="Times New Roman"/>
          <w:szCs w:val="21"/>
        </w:rPr>
        <w:br w:type="page"/>
      </w:r>
    </w:p>
    <w:p w14:paraId="22307280">
      <w:pPr>
        <w:pStyle w:val="3"/>
        <w:jc w:val="center"/>
        <w:rPr>
          <w:rFonts w:ascii="Times New Roman" w:hAnsi="Times New Roman"/>
          <w:color w:val="000000"/>
        </w:rPr>
      </w:pPr>
      <w:bookmarkStart w:id="423" w:name="_Toc12685"/>
      <w:r>
        <w:rPr>
          <w:rFonts w:ascii="Times New Roman" w:hAnsi="Times New Roman"/>
          <w:color w:val="000000"/>
        </w:rPr>
        <w:t>二</w:t>
      </w:r>
      <w:bookmarkEnd w:id="412"/>
      <w:bookmarkEnd w:id="413"/>
      <w:bookmarkEnd w:id="414"/>
      <w:bookmarkEnd w:id="415"/>
      <w:bookmarkEnd w:id="416"/>
      <w:bookmarkEnd w:id="417"/>
      <w:bookmarkEnd w:id="418"/>
      <w:bookmarkEnd w:id="419"/>
      <w:bookmarkEnd w:id="420"/>
      <w:bookmarkEnd w:id="421"/>
      <w:bookmarkEnd w:id="422"/>
      <w:r>
        <w:rPr>
          <w:rFonts w:ascii="Times New Roman" w:hAnsi="Times New Roman"/>
          <w:color w:val="000000"/>
        </w:rPr>
        <w:t>、</w:t>
      </w:r>
      <w:r>
        <w:rPr>
          <w:rFonts w:hint="eastAsia" w:ascii="Times New Roman" w:hAnsi="Times New Roman"/>
          <w:color w:val="000000"/>
        </w:rPr>
        <w:t>法定代表人</w:t>
      </w:r>
      <w:r>
        <w:rPr>
          <w:rFonts w:hint="eastAsia" w:ascii="Times New Roman" w:hAnsi="Times New Roman"/>
          <w:color w:val="000000"/>
          <w:lang w:eastAsia="zh-CN"/>
        </w:rPr>
        <w:t>（</w:t>
      </w:r>
      <w:r>
        <w:rPr>
          <w:rFonts w:hint="eastAsia" w:ascii="Times New Roman" w:hAnsi="Times New Roman"/>
          <w:color w:val="000000"/>
          <w:lang w:val="en-US" w:eastAsia="zh-CN"/>
        </w:rPr>
        <w:t>单位负责人</w:t>
      </w:r>
      <w:r>
        <w:rPr>
          <w:rFonts w:hint="eastAsia" w:ascii="Times New Roman" w:hAnsi="Times New Roman"/>
          <w:color w:val="000000"/>
          <w:lang w:eastAsia="zh-CN"/>
        </w:rPr>
        <w:t>）</w:t>
      </w:r>
      <w:r>
        <w:rPr>
          <w:rFonts w:hint="eastAsia" w:ascii="Times New Roman" w:hAnsi="Times New Roman"/>
          <w:color w:val="000000"/>
        </w:rPr>
        <w:t>身份证明或授权委托书</w:t>
      </w:r>
      <w:bookmarkEnd w:id="423"/>
    </w:p>
    <w:p w14:paraId="3039CCC0">
      <w:pPr>
        <w:jc w:val="center"/>
        <w:outlineLvl w:val="9"/>
        <w:rPr>
          <w:rFonts w:ascii="Times New Roman" w:hAnsi="Times New Roman"/>
          <w:b w:val="0"/>
          <w:bCs w:val="0"/>
          <w:color w:val="000000"/>
          <w:sz w:val="28"/>
          <w:szCs w:val="28"/>
        </w:rPr>
      </w:pPr>
      <w:r>
        <w:rPr>
          <w:rFonts w:ascii="Times New Roman" w:hAnsi="Times New Roman"/>
          <w:b w:val="0"/>
          <w:bCs w:val="0"/>
          <w:color w:val="000000"/>
          <w:sz w:val="28"/>
          <w:szCs w:val="28"/>
        </w:rPr>
        <w:t>法定代表人身份证明</w:t>
      </w:r>
    </w:p>
    <w:p w14:paraId="1F4E4831">
      <w:pPr>
        <w:spacing w:line="440" w:lineRule="exact"/>
        <w:rPr>
          <w:rFonts w:ascii="Times New Roman" w:hAnsi="Times New Roman"/>
          <w:color w:val="000000"/>
          <w:sz w:val="20"/>
        </w:rPr>
      </w:pPr>
    </w:p>
    <w:p w14:paraId="26D857B7">
      <w:pPr>
        <w:spacing w:line="440" w:lineRule="exact"/>
        <w:rPr>
          <w:rFonts w:ascii="Times New Roman" w:hAnsi="Times New Roman"/>
          <w:color w:val="000000"/>
        </w:rPr>
      </w:pPr>
    </w:p>
    <w:p w14:paraId="413D0CD0">
      <w:pPr>
        <w:spacing w:line="440" w:lineRule="exact"/>
        <w:rPr>
          <w:rFonts w:ascii="Times New Roman" w:hAnsi="Times New Roman"/>
          <w:color w:val="000000"/>
        </w:rPr>
      </w:pPr>
      <w:r>
        <w:rPr>
          <w:rFonts w:ascii="Times New Roman" w:hAnsi="Times New Roman"/>
          <w:color w:val="000000"/>
        </w:rPr>
        <w:t>投标人名称：</w:t>
      </w:r>
      <w:r>
        <w:rPr>
          <w:rFonts w:ascii="Times New Roman" w:hAnsi="Times New Roman"/>
          <w:u w:val="single"/>
        </w:rPr>
        <w:t xml:space="preserve">                        </w:t>
      </w:r>
    </w:p>
    <w:p w14:paraId="34D76F88">
      <w:pPr>
        <w:spacing w:line="440" w:lineRule="exact"/>
        <w:rPr>
          <w:rFonts w:ascii="Times New Roman" w:hAnsi="Times New Roman"/>
          <w:color w:val="000000"/>
        </w:rPr>
      </w:pPr>
      <w:r>
        <w:rPr>
          <w:rFonts w:ascii="Times New Roman" w:hAnsi="Times New Roman"/>
          <w:color w:val="000000"/>
        </w:rPr>
        <w:t>姓名：</w:t>
      </w:r>
      <w:r>
        <w:rPr>
          <w:rFonts w:ascii="Times New Roman" w:hAnsi="Times New Roman"/>
          <w:u w:val="single"/>
        </w:rPr>
        <w:t xml:space="preserve">                </w:t>
      </w:r>
      <w:r>
        <w:rPr>
          <w:rFonts w:ascii="Times New Roman" w:hAnsi="Times New Roman"/>
          <w:color w:val="000000"/>
        </w:rPr>
        <w:t>性别：</w:t>
      </w:r>
      <w:r>
        <w:rPr>
          <w:rFonts w:ascii="Times New Roman" w:hAnsi="Times New Roman"/>
          <w:u w:val="single"/>
        </w:rPr>
        <w:t xml:space="preserve">        </w:t>
      </w:r>
      <w:r>
        <w:rPr>
          <w:rFonts w:ascii="Times New Roman" w:hAnsi="Times New Roman"/>
          <w:color w:val="000000"/>
        </w:rPr>
        <w:t>年龄：</w:t>
      </w:r>
      <w:r>
        <w:rPr>
          <w:rFonts w:ascii="Times New Roman" w:hAnsi="Times New Roman"/>
          <w:u w:val="single"/>
        </w:rPr>
        <w:t xml:space="preserve">        </w:t>
      </w:r>
      <w:r>
        <w:rPr>
          <w:rFonts w:ascii="Times New Roman" w:hAnsi="Times New Roman"/>
          <w:color w:val="000000"/>
        </w:rPr>
        <w:t>职务：</w:t>
      </w:r>
      <w:r>
        <w:rPr>
          <w:rFonts w:ascii="Times New Roman" w:hAnsi="Times New Roman"/>
          <w:u w:val="single"/>
        </w:rPr>
        <w:t xml:space="preserve">        </w:t>
      </w:r>
    </w:p>
    <w:p w14:paraId="2798B43D">
      <w:pPr>
        <w:spacing w:line="440" w:lineRule="exact"/>
        <w:rPr>
          <w:rFonts w:ascii="Times New Roman" w:hAnsi="Times New Roman"/>
          <w:color w:val="000000"/>
        </w:rPr>
      </w:pPr>
      <w:r>
        <w:rPr>
          <w:rFonts w:ascii="Times New Roman" w:hAnsi="Times New Roman"/>
          <w:color w:val="000000"/>
        </w:rPr>
        <w:t>系</w:t>
      </w:r>
      <w:r>
        <w:rPr>
          <w:rFonts w:ascii="Times New Roman" w:hAnsi="Times New Roman"/>
          <w:u w:val="single"/>
        </w:rPr>
        <w:t xml:space="preserve">                   </w:t>
      </w:r>
      <w:r>
        <w:rPr>
          <w:rFonts w:hint="eastAsia" w:ascii="Times New Roman" w:hAnsi="Times New Roman"/>
          <w:u w:val="single"/>
          <w:lang w:val="en-US" w:eastAsia="zh-CN"/>
        </w:rPr>
        <w:t xml:space="preserve">      </w:t>
      </w:r>
      <w:r>
        <w:rPr>
          <w:rFonts w:ascii="Times New Roman" w:hAnsi="Times New Roman"/>
          <w:u w:val="single"/>
        </w:rPr>
        <w:t xml:space="preserve">     </w:t>
      </w:r>
      <w:r>
        <w:rPr>
          <w:rFonts w:ascii="Times New Roman" w:hAnsi="Times New Roman"/>
          <w:color w:val="000000"/>
        </w:rPr>
        <w:t>（投标人名称）的法定代表人。</w:t>
      </w:r>
    </w:p>
    <w:p w14:paraId="61F0CCDE">
      <w:pPr>
        <w:spacing w:line="440" w:lineRule="exact"/>
        <w:ind w:firstLine="420" w:firstLineChars="200"/>
        <w:rPr>
          <w:rFonts w:ascii="Times New Roman" w:hAnsi="Times New Roman"/>
          <w:color w:val="000000"/>
        </w:rPr>
      </w:pPr>
      <w:r>
        <w:rPr>
          <w:rFonts w:ascii="Times New Roman" w:hAnsi="Times New Roman"/>
          <w:color w:val="000000"/>
        </w:rPr>
        <w:t>特此证明。</w:t>
      </w:r>
    </w:p>
    <w:p w14:paraId="50A45ED2">
      <w:pPr>
        <w:spacing w:line="440" w:lineRule="exact"/>
        <w:rPr>
          <w:rFonts w:ascii="Times New Roman" w:hAnsi="Times New Roman"/>
          <w:color w:val="000000"/>
        </w:rPr>
      </w:pPr>
    </w:p>
    <w:tbl>
      <w:tblPr>
        <w:tblStyle w:val="2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28"/>
        <w:gridCol w:w="4428"/>
      </w:tblGrid>
      <w:tr w14:paraId="0D4AF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1" w:hRule="atLeast"/>
          <w:jc w:val="center"/>
        </w:trPr>
        <w:tc>
          <w:tcPr>
            <w:tcW w:w="4765" w:type="dxa"/>
            <w:tcBorders>
              <w:top w:val="dashed" w:color="auto" w:sz="4" w:space="0"/>
              <w:left w:val="dashed" w:color="auto" w:sz="4" w:space="0"/>
              <w:bottom w:val="dashed" w:color="auto" w:sz="4" w:space="0"/>
              <w:right w:val="dashed" w:color="auto" w:sz="4" w:space="0"/>
            </w:tcBorders>
            <w:vAlign w:val="center"/>
          </w:tcPr>
          <w:p w14:paraId="1913ADA3">
            <w:pPr>
              <w:spacing w:line="440" w:lineRule="exact"/>
              <w:jc w:val="center"/>
              <w:rPr>
                <w:rFonts w:hint="default" w:ascii="Times New Roman" w:hAnsi="Times New Roman" w:eastAsia="宋体"/>
                <w:color w:val="000000"/>
                <w:vertAlign w:val="baseline"/>
                <w:lang w:val="en-US" w:eastAsia="zh-CN"/>
              </w:rPr>
            </w:pPr>
            <w:r>
              <w:rPr>
                <w:rFonts w:hint="eastAsia" w:ascii="Times New Roman" w:hAnsi="Times New Roman"/>
                <w:color w:val="000000"/>
                <w:vertAlign w:val="baseline"/>
                <w:lang w:val="en-US" w:eastAsia="zh-CN"/>
              </w:rPr>
              <w:t>法定代表人身份证正面</w:t>
            </w:r>
          </w:p>
        </w:tc>
        <w:tc>
          <w:tcPr>
            <w:tcW w:w="4766" w:type="dxa"/>
            <w:tcBorders>
              <w:top w:val="dashed" w:color="auto" w:sz="4" w:space="0"/>
              <w:left w:val="dashed" w:color="auto" w:sz="4" w:space="0"/>
              <w:bottom w:val="dashed" w:color="auto" w:sz="4" w:space="0"/>
              <w:right w:val="dashed" w:color="auto" w:sz="4" w:space="0"/>
            </w:tcBorders>
            <w:vAlign w:val="center"/>
          </w:tcPr>
          <w:p w14:paraId="50A2C10C">
            <w:pPr>
              <w:spacing w:line="440" w:lineRule="exact"/>
              <w:jc w:val="center"/>
              <w:rPr>
                <w:rFonts w:hint="default" w:ascii="Times New Roman" w:hAnsi="Times New Roman" w:eastAsia="宋体"/>
                <w:color w:val="000000"/>
                <w:vertAlign w:val="baseline"/>
                <w:lang w:val="en-US" w:eastAsia="zh-CN"/>
              </w:rPr>
            </w:pPr>
            <w:r>
              <w:rPr>
                <w:rFonts w:hint="eastAsia" w:ascii="Times New Roman" w:hAnsi="Times New Roman"/>
                <w:color w:val="000000"/>
                <w:vertAlign w:val="baseline"/>
                <w:lang w:val="en-US" w:eastAsia="zh-CN"/>
              </w:rPr>
              <w:t>法定代表人身份证反面</w:t>
            </w:r>
          </w:p>
        </w:tc>
      </w:tr>
    </w:tbl>
    <w:p w14:paraId="4B3485BA">
      <w:pPr>
        <w:spacing w:line="440" w:lineRule="exact"/>
        <w:rPr>
          <w:rFonts w:ascii="Times New Roman" w:hAnsi="Times New Roman"/>
          <w:color w:val="000000"/>
        </w:rPr>
      </w:pPr>
    </w:p>
    <w:p w14:paraId="29B5A38C">
      <w:pPr>
        <w:spacing w:line="440" w:lineRule="exact"/>
        <w:rPr>
          <w:rFonts w:ascii="Times New Roman" w:hAnsi="Times New Roman"/>
          <w:color w:val="000000"/>
        </w:rPr>
      </w:pPr>
      <w:r>
        <w:rPr>
          <w:rFonts w:ascii="Times New Roman" w:hAnsi="Times New Roman"/>
          <w:color w:val="000000"/>
        </w:rPr>
        <w:t>注：本身份证明需由投标人加盖单位公章。</w:t>
      </w:r>
    </w:p>
    <w:p w14:paraId="132FA50F">
      <w:pPr>
        <w:spacing w:line="440" w:lineRule="exact"/>
        <w:rPr>
          <w:rFonts w:ascii="Times New Roman" w:hAnsi="Times New Roman"/>
          <w:color w:val="000000"/>
        </w:rPr>
      </w:pPr>
    </w:p>
    <w:p w14:paraId="3DC09060">
      <w:pPr>
        <w:spacing w:line="440" w:lineRule="exact"/>
        <w:rPr>
          <w:rFonts w:ascii="Times New Roman" w:hAnsi="Times New Roman"/>
          <w:color w:val="000000"/>
        </w:rPr>
      </w:pPr>
    </w:p>
    <w:p w14:paraId="7482D630">
      <w:pPr>
        <w:spacing w:line="440" w:lineRule="exact"/>
        <w:jc w:val="center"/>
        <w:rPr>
          <w:rFonts w:ascii="Times New Roman" w:hAnsi="Times New Roman"/>
          <w:color w:val="000000"/>
        </w:rPr>
      </w:pPr>
      <w:r>
        <w:rPr>
          <w:rFonts w:ascii="Times New Roman" w:hAnsi="Times New Roman"/>
          <w:color w:val="000000"/>
        </w:rPr>
        <w:t xml:space="preserve">                              投标人：</w:t>
      </w:r>
      <w:r>
        <w:rPr>
          <w:rFonts w:ascii="Times New Roman" w:hAnsi="Times New Roman"/>
          <w:szCs w:val="21"/>
          <w:u w:val="single"/>
        </w:rPr>
        <w:t xml:space="preserve">   </w:t>
      </w:r>
      <w:r>
        <w:rPr>
          <w:rFonts w:hint="eastAsia" w:ascii="Times New Roman" w:hAnsi="Times New Roman"/>
          <w:szCs w:val="21"/>
          <w:u w:val="single"/>
          <w:lang w:val="en-US" w:eastAsia="zh-CN"/>
        </w:rPr>
        <w:t xml:space="preserve">            </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color w:val="000000"/>
        </w:rPr>
        <w:t>（</w:t>
      </w:r>
      <w:r>
        <w:rPr>
          <w:rFonts w:hint="eastAsia" w:ascii="Times New Roman" w:hAnsi="Times New Roman"/>
          <w:color w:val="000000"/>
        </w:rPr>
        <w:t>盖</w:t>
      </w:r>
      <w:r>
        <w:rPr>
          <w:rFonts w:ascii="Times New Roman" w:hAnsi="Times New Roman"/>
          <w:color w:val="000000"/>
        </w:rPr>
        <w:t>单位</w:t>
      </w:r>
      <w:r>
        <w:rPr>
          <w:rFonts w:hint="eastAsia" w:ascii="Times New Roman" w:hAnsi="Times New Roman"/>
          <w:color w:val="000000"/>
        </w:rPr>
        <w:t>章</w:t>
      </w:r>
      <w:r>
        <w:rPr>
          <w:rFonts w:ascii="Times New Roman" w:hAnsi="Times New Roman"/>
          <w:color w:val="000000"/>
        </w:rPr>
        <w:t>）</w:t>
      </w:r>
    </w:p>
    <w:p w14:paraId="510BF231">
      <w:pPr>
        <w:spacing w:line="440" w:lineRule="exact"/>
        <w:rPr>
          <w:rFonts w:ascii="Times New Roman" w:hAnsi="Times New Roman"/>
          <w:color w:val="000000"/>
        </w:rPr>
      </w:pPr>
    </w:p>
    <w:p w14:paraId="0F30497F">
      <w:pPr>
        <w:spacing w:line="440" w:lineRule="exact"/>
        <w:ind w:firstLine="4620" w:firstLineChars="2200"/>
        <w:rPr>
          <w:rFonts w:ascii="Times New Roman" w:hAnsi="Times New Roman"/>
          <w:color w:val="000000"/>
        </w:rPr>
      </w:pPr>
      <w:r>
        <w:rPr>
          <w:rFonts w:ascii="Times New Roman" w:hAnsi="Times New Roman"/>
          <w:u w:val="single"/>
        </w:rPr>
        <w:t xml:space="preserve">      </w:t>
      </w:r>
      <w:r>
        <w:rPr>
          <w:rFonts w:ascii="Times New Roman" w:hAnsi="Times New Roman"/>
          <w:color w:val="000000"/>
        </w:rPr>
        <w:t>年</w:t>
      </w:r>
      <w:r>
        <w:rPr>
          <w:rFonts w:ascii="Times New Roman" w:hAnsi="Times New Roman"/>
          <w:u w:val="single"/>
        </w:rPr>
        <w:t xml:space="preserve">      </w:t>
      </w:r>
      <w:r>
        <w:rPr>
          <w:rFonts w:ascii="Times New Roman" w:hAnsi="Times New Roman"/>
          <w:color w:val="000000"/>
        </w:rPr>
        <w:t>月</w:t>
      </w:r>
      <w:r>
        <w:rPr>
          <w:rFonts w:ascii="Times New Roman" w:hAnsi="Times New Roman"/>
          <w:u w:val="single"/>
        </w:rPr>
        <w:t xml:space="preserve">      </w:t>
      </w:r>
      <w:r>
        <w:rPr>
          <w:rFonts w:ascii="Times New Roman" w:hAnsi="Times New Roman"/>
          <w:color w:val="000000"/>
        </w:rPr>
        <w:t>日</w:t>
      </w:r>
    </w:p>
    <w:p w14:paraId="16AB2C92">
      <w:pPr>
        <w:spacing w:line="440" w:lineRule="exact"/>
        <w:rPr>
          <w:rFonts w:ascii="Times New Roman" w:hAnsi="Times New Roman" w:eastAsia="黑体"/>
          <w:color w:val="000000"/>
          <w:sz w:val="20"/>
        </w:rPr>
      </w:pPr>
    </w:p>
    <w:p w14:paraId="6368F3EB">
      <w:pPr>
        <w:spacing w:line="440" w:lineRule="exact"/>
        <w:jc w:val="center"/>
        <w:rPr>
          <w:rFonts w:ascii="Times New Roman" w:hAnsi="Times New Roman"/>
          <w:sz w:val="28"/>
          <w:szCs w:val="28"/>
        </w:rPr>
      </w:pPr>
    </w:p>
    <w:p w14:paraId="4629CFC9">
      <w:pPr>
        <w:spacing w:line="440" w:lineRule="exact"/>
        <w:jc w:val="center"/>
        <w:rPr>
          <w:rFonts w:ascii="Times New Roman" w:hAnsi="Times New Roman"/>
          <w:sz w:val="28"/>
          <w:szCs w:val="28"/>
        </w:rPr>
      </w:pPr>
    </w:p>
    <w:p w14:paraId="7802A858">
      <w:pPr>
        <w:spacing w:line="440" w:lineRule="exact"/>
        <w:jc w:val="center"/>
        <w:rPr>
          <w:rFonts w:ascii="Times New Roman" w:hAnsi="Times New Roman"/>
          <w:sz w:val="28"/>
          <w:szCs w:val="28"/>
        </w:rPr>
      </w:pPr>
    </w:p>
    <w:p w14:paraId="7A848966">
      <w:pPr>
        <w:spacing w:line="440" w:lineRule="exact"/>
        <w:jc w:val="center"/>
        <w:rPr>
          <w:rFonts w:ascii="Times New Roman" w:hAnsi="Times New Roman"/>
          <w:sz w:val="28"/>
          <w:szCs w:val="28"/>
        </w:rPr>
      </w:pPr>
    </w:p>
    <w:p w14:paraId="5EC2A7FC">
      <w:pPr>
        <w:spacing w:line="440" w:lineRule="exact"/>
        <w:jc w:val="both"/>
        <w:rPr>
          <w:rFonts w:ascii="Times New Roman" w:hAnsi="Times New Roman"/>
          <w:sz w:val="28"/>
          <w:szCs w:val="28"/>
        </w:rPr>
      </w:pPr>
    </w:p>
    <w:p w14:paraId="2659B7E2">
      <w:pPr>
        <w:spacing w:line="440" w:lineRule="exact"/>
        <w:jc w:val="center"/>
        <w:rPr>
          <w:rFonts w:hint="eastAsia" w:ascii="Times New Roman" w:hAnsi="Times New Roman" w:eastAsia="宋体"/>
          <w:color w:val="000000"/>
          <w:sz w:val="28"/>
          <w:szCs w:val="28"/>
          <w:lang w:val="en-US" w:eastAsia="zh-CN"/>
        </w:rPr>
      </w:pPr>
      <w:r>
        <w:rPr>
          <w:rFonts w:ascii="Times New Roman" w:hAnsi="Times New Roman"/>
          <w:sz w:val="28"/>
          <w:szCs w:val="28"/>
        </w:rPr>
        <w:t>授权委托</w:t>
      </w:r>
      <w:r>
        <w:rPr>
          <w:rFonts w:ascii="Times New Roman" w:hAnsi="Times New Roman"/>
          <w:color w:val="000000"/>
          <w:sz w:val="28"/>
          <w:szCs w:val="28"/>
        </w:rPr>
        <w:t>书</w:t>
      </w:r>
    </w:p>
    <w:p w14:paraId="4DA865FD">
      <w:pPr>
        <w:spacing w:line="440" w:lineRule="exact"/>
        <w:rPr>
          <w:rFonts w:ascii="Times New Roman" w:hAnsi="Times New Roman" w:eastAsia="黑体"/>
          <w:color w:val="000000"/>
        </w:rPr>
      </w:pPr>
    </w:p>
    <w:p w14:paraId="24B1487A">
      <w:pPr>
        <w:topLinePunct/>
        <w:spacing w:line="440" w:lineRule="exact"/>
        <w:ind w:firstLine="420" w:firstLineChars="200"/>
        <w:rPr>
          <w:rFonts w:ascii="Times New Roman" w:hAnsi="Times New Roman"/>
          <w:color w:val="000000"/>
        </w:rPr>
      </w:pPr>
      <w:r>
        <w:rPr>
          <w:rFonts w:ascii="Times New Roman" w:hAnsi="Times New Roman"/>
          <w:color w:val="000000"/>
        </w:rPr>
        <w:t>本人</w:t>
      </w:r>
      <w:r>
        <w:rPr>
          <w:rFonts w:ascii="Times New Roman" w:hAnsi="Times New Roman"/>
          <w:u w:val="single"/>
        </w:rPr>
        <w:t xml:space="preserve">              </w:t>
      </w:r>
      <w:r>
        <w:rPr>
          <w:rFonts w:ascii="Times New Roman" w:hAnsi="Times New Roman"/>
          <w:color w:val="000000"/>
        </w:rPr>
        <w:t>（姓名）系</w:t>
      </w:r>
      <w:r>
        <w:rPr>
          <w:rFonts w:ascii="Times New Roman" w:hAnsi="Times New Roman"/>
          <w:u w:val="single"/>
        </w:rPr>
        <w:t xml:space="preserve">                    </w:t>
      </w:r>
      <w:r>
        <w:rPr>
          <w:rFonts w:ascii="Times New Roman" w:hAnsi="Times New Roman"/>
          <w:color w:val="000000"/>
        </w:rPr>
        <w:t>（投标人名称）的法定代表人，现委托</w:t>
      </w:r>
      <w:r>
        <w:rPr>
          <w:rFonts w:ascii="Times New Roman" w:hAnsi="Times New Roman"/>
          <w:u w:val="single"/>
        </w:rPr>
        <w:t xml:space="preserve">            </w:t>
      </w:r>
      <w:r>
        <w:rPr>
          <w:rFonts w:ascii="Times New Roman" w:hAnsi="Times New Roman"/>
          <w:color w:val="000000"/>
        </w:rPr>
        <w:t>（姓名）为我方代理人。代理人根据授权，以我方名义签署、澄清确认、递交、撤回、修改</w:t>
      </w:r>
      <w:r>
        <w:rPr>
          <w:rFonts w:hint="eastAsia" w:ascii="Times New Roman" w:hAnsi="Times New Roman"/>
          <w:color w:val="000000"/>
          <w:lang w:val="en-US" w:eastAsia="zh-CN"/>
        </w:rPr>
        <w:t>该</w:t>
      </w:r>
      <w:r>
        <w:rPr>
          <w:rFonts w:ascii="Times New Roman" w:hAnsi="Times New Roman"/>
          <w:color w:val="000000"/>
        </w:rPr>
        <w:t>招标项目投标文件、签订合同</w:t>
      </w:r>
      <w:r>
        <w:rPr>
          <w:rFonts w:hint="eastAsia" w:ascii="Times New Roman" w:hAnsi="Times New Roman"/>
          <w:color w:val="000000"/>
          <w:lang w:val="en-US" w:eastAsia="zh-CN"/>
        </w:rPr>
        <w:t>事</w:t>
      </w:r>
      <w:r>
        <w:rPr>
          <w:rFonts w:ascii="Times New Roman" w:hAnsi="Times New Roman"/>
          <w:color w:val="000000"/>
        </w:rPr>
        <w:t>宜，</w:t>
      </w:r>
      <w:r>
        <w:rPr>
          <w:rFonts w:hint="eastAsia" w:ascii="Times New Roman" w:hAnsi="Times New Roman"/>
          <w:color w:val="000000"/>
          <w:lang w:val="en-US" w:eastAsia="zh-CN"/>
        </w:rPr>
        <w:t>不包含质疑、投诉事宜，</w:t>
      </w:r>
      <w:r>
        <w:rPr>
          <w:rFonts w:ascii="Times New Roman" w:hAnsi="Times New Roman"/>
          <w:color w:val="000000"/>
        </w:rPr>
        <w:t>其法律后果由我方承担。</w:t>
      </w:r>
    </w:p>
    <w:p w14:paraId="2464F0D6">
      <w:pPr>
        <w:spacing w:line="440" w:lineRule="exact"/>
        <w:rPr>
          <w:rFonts w:ascii="Times New Roman" w:hAnsi="Times New Roman"/>
          <w:color w:val="000000"/>
        </w:rPr>
      </w:pPr>
      <w:r>
        <w:rPr>
          <w:rFonts w:ascii="Times New Roman" w:hAnsi="Times New Roman"/>
          <w:color w:val="000000"/>
        </w:rPr>
        <w:t>委托期限：</w:t>
      </w:r>
      <w:r>
        <w:rPr>
          <w:rFonts w:ascii="Times New Roman" w:hAnsi="Times New Roman"/>
          <w:u w:val="single"/>
        </w:rPr>
        <w:t xml:space="preserve">                       </w:t>
      </w:r>
      <w:r>
        <w:rPr>
          <w:rFonts w:ascii="Times New Roman" w:hAnsi="Times New Roman"/>
          <w:color w:val="000000"/>
        </w:rPr>
        <w:t>。</w:t>
      </w:r>
    </w:p>
    <w:p w14:paraId="42AD4DCF">
      <w:pPr>
        <w:spacing w:line="440" w:lineRule="exact"/>
        <w:ind w:firstLine="420" w:firstLineChars="200"/>
        <w:rPr>
          <w:rFonts w:ascii="Times New Roman" w:hAnsi="Times New Roman"/>
          <w:color w:val="000000"/>
        </w:rPr>
      </w:pPr>
      <w:r>
        <w:rPr>
          <w:rFonts w:ascii="Times New Roman" w:hAnsi="Times New Roman"/>
          <w:color w:val="000000"/>
        </w:rPr>
        <w:t>代理人无转委托权。</w:t>
      </w:r>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28"/>
        <w:gridCol w:w="4428"/>
      </w:tblGrid>
      <w:tr w14:paraId="7591A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1" w:hRule="atLeast"/>
        </w:trPr>
        <w:tc>
          <w:tcPr>
            <w:tcW w:w="4765" w:type="dxa"/>
            <w:tcBorders>
              <w:top w:val="dashed" w:color="auto" w:sz="4" w:space="0"/>
              <w:left w:val="dashed" w:color="auto" w:sz="4" w:space="0"/>
              <w:bottom w:val="dashed" w:color="auto" w:sz="4" w:space="0"/>
              <w:right w:val="dashed" w:color="auto" w:sz="4" w:space="0"/>
            </w:tcBorders>
            <w:vAlign w:val="center"/>
          </w:tcPr>
          <w:p w14:paraId="5ACD1F99">
            <w:pPr>
              <w:spacing w:line="440" w:lineRule="exact"/>
              <w:jc w:val="center"/>
              <w:rPr>
                <w:rFonts w:hint="default" w:ascii="Times New Roman" w:hAnsi="Times New Roman" w:eastAsia="宋体"/>
                <w:color w:val="000000"/>
                <w:vertAlign w:val="baseline"/>
                <w:lang w:val="en-US" w:eastAsia="zh-CN"/>
              </w:rPr>
            </w:pPr>
            <w:r>
              <w:rPr>
                <w:rFonts w:hint="eastAsia" w:ascii="Times New Roman" w:hAnsi="Times New Roman"/>
                <w:color w:val="000000"/>
                <w:vertAlign w:val="baseline"/>
                <w:lang w:val="en-US" w:eastAsia="zh-CN"/>
              </w:rPr>
              <w:t>法定代表人身份证正面</w:t>
            </w:r>
          </w:p>
        </w:tc>
        <w:tc>
          <w:tcPr>
            <w:tcW w:w="4766" w:type="dxa"/>
            <w:tcBorders>
              <w:top w:val="dashed" w:color="auto" w:sz="4" w:space="0"/>
              <w:left w:val="dashed" w:color="auto" w:sz="4" w:space="0"/>
              <w:bottom w:val="dashed" w:color="auto" w:sz="4" w:space="0"/>
              <w:right w:val="dashed" w:color="auto" w:sz="4" w:space="0"/>
            </w:tcBorders>
            <w:vAlign w:val="center"/>
          </w:tcPr>
          <w:p w14:paraId="780CF9B3">
            <w:pPr>
              <w:spacing w:line="440" w:lineRule="exact"/>
              <w:jc w:val="center"/>
              <w:rPr>
                <w:rFonts w:hint="default" w:ascii="Times New Roman" w:hAnsi="Times New Roman" w:eastAsia="宋体"/>
                <w:color w:val="000000"/>
                <w:vertAlign w:val="baseline"/>
                <w:lang w:val="en-US" w:eastAsia="zh-CN"/>
              </w:rPr>
            </w:pPr>
            <w:r>
              <w:rPr>
                <w:rFonts w:hint="eastAsia" w:ascii="Times New Roman" w:hAnsi="Times New Roman"/>
                <w:color w:val="000000"/>
                <w:vertAlign w:val="baseline"/>
                <w:lang w:val="en-US" w:eastAsia="zh-CN"/>
              </w:rPr>
              <w:t>法定代表人身份证反面</w:t>
            </w:r>
          </w:p>
        </w:tc>
      </w:tr>
      <w:tr w14:paraId="2BFFA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1" w:hRule="atLeast"/>
        </w:trPr>
        <w:tc>
          <w:tcPr>
            <w:tcW w:w="4765" w:type="dxa"/>
            <w:tcBorders>
              <w:top w:val="dashed" w:color="auto" w:sz="4" w:space="0"/>
              <w:left w:val="dashed" w:color="auto" w:sz="4" w:space="0"/>
              <w:bottom w:val="dashed" w:color="auto" w:sz="4" w:space="0"/>
              <w:right w:val="dashed" w:color="auto" w:sz="4" w:space="0"/>
            </w:tcBorders>
            <w:vAlign w:val="center"/>
          </w:tcPr>
          <w:p w14:paraId="6BE04807">
            <w:pPr>
              <w:spacing w:line="440" w:lineRule="exact"/>
              <w:jc w:val="center"/>
              <w:rPr>
                <w:rFonts w:hint="default" w:ascii="Times New Roman" w:hAnsi="Times New Roman" w:eastAsia="宋体"/>
                <w:color w:val="000000"/>
                <w:vertAlign w:val="baseline"/>
                <w:lang w:val="en-US" w:eastAsia="zh-CN"/>
              </w:rPr>
            </w:pPr>
            <w:r>
              <w:rPr>
                <w:rFonts w:hint="eastAsia" w:ascii="Times New Roman" w:hAnsi="Times New Roman"/>
                <w:color w:val="000000"/>
                <w:vertAlign w:val="baseline"/>
                <w:lang w:val="en-US" w:eastAsia="zh-CN"/>
              </w:rPr>
              <w:t>委托代理人身份证正面</w:t>
            </w:r>
          </w:p>
        </w:tc>
        <w:tc>
          <w:tcPr>
            <w:tcW w:w="4766" w:type="dxa"/>
            <w:tcBorders>
              <w:top w:val="dashed" w:color="auto" w:sz="4" w:space="0"/>
              <w:left w:val="dashed" w:color="auto" w:sz="4" w:space="0"/>
              <w:bottom w:val="dashed" w:color="auto" w:sz="4" w:space="0"/>
              <w:right w:val="dashed" w:color="auto" w:sz="4" w:space="0"/>
            </w:tcBorders>
            <w:vAlign w:val="center"/>
          </w:tcPr>
          <w:p w14:paraId="4A4A3AAD">
            <w:pPr>
              <w:spacing w:line="440" w:lineRule="exact"/>
              <w:jc w:val="center"/>
              <w:rPr>
                <w:rFonts w:hint="default" w:ascii="Times New Roman" w:hAnsi="Times New Roman" w:eastAsia="宋体"/>
                <w:color w:val="000000"/>
                <w:vertAlign w:val="baseline"/>
                <w:lang w:val="en-US" w:eastAsia="zh-CN"/>
              </w:rPr>
            </w:pPr>
            <w:r>
              <w:rPr>
                <w:rFonts w:hint="eastAsia" w:ascii="Times New Roman" w:hAnsi="Times New Roman"/>
                <w:color w:val="000000"/>
                <w:vertAlign w:val="baseline"/>
                <w:lang w:val="en-US" w:eastAsia="zh-CN"/>
              </w:rPr>
              <w:t>委托代理人身份证反面</w:t>
            </w:r>
          </w:p>
        </w:tc>
      </w:tr>
      <w:tr w14:paraId="67195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9531" w:type="dxa"/>
            <w:gridSpan w:val="2"/>
            <w:tcBorders>
              <w:top w:val="dashed" w:color="auto" w:sz="4" w:space="0"/>
              <w:left w:val="nil"/>
              <w:bottom w:val="nil"/>
              <w:right w:val="nil"/>
            </w:tcBorders>
          </w:tcPr>
          <w:p w14:paraId="58255EBB">
            <w:pPr>
              <w:spacing w:line="440" w:lineRule="exact"/>
              <w:rPr>
                <w:rFonts w:ascii="Times New Roman" w:hAnsi="Times New Roman"/>
                <w:color w:val="000000"/>
              </w:rPr>
            </w:pPr>
          </w:p>
        </w:tc>
      </w:tr>
      <w:tr w14:paraId="3DED5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9531" w:type="dxa"/>
            <w:gridSpan w:val="2"/>
            <w:tcBorders>
              <w:top w:val="nil"/>
              <w:left w:val="nil"/>
              <w:bottom w:val="nil"/>
              <w:right w:val="nil"/>
            </w:tcBorders>
            <w:vAlign w:val="center"/>
          </w:tcPr>
          <w:p w14:paraId="78A0F343">
            <w:pPr>
              <w:spacing w:line="240" w:lineRule="auto"/>
              <w:jc w:val="both"/>
              <w:rPr>
                <w:rFonts w:hint="eastAsia" w:ascii="Times New Roman" w:hAnsi="Times New Roman" w:eastAsia="宋体"/>
                <w:color w:val="000000"/>
                <w:vertAlign w:val="baseline"/>
                <w:lang w:eastAsia="zh-CN"/>
              </w:rPr>
            </w:pPr>
            <w:r>
              <w:rPr>
                <w:rFonts w:ascii="Times New Roman" w:hAnsi="Times New Roman"/>
                <w:color w:val="000000"/>
              </w:rPr>
              <w:t>投  标  人</w:t>
            </w:r>
            <w:r>
              <w:rPr>
                <w:rFonts w:hint="eastAsia" w:ascii="Times New Roman" w:hAnsi="Times New Roman"/>
                <w:color w:val="000000"/>
                <w:lang w:eastAsia="zh-CN"/>
              </w:rPr>
              <w:t>：</w:t>
            </w:r>
            <w:r>
              <w:rPr>
                <w:rFonts w:ascii="Times New Roman" w:hAnsi="Times New Roman"/>
                <w:szCs w:val="21"/>
                <w:u w:val="single"/>
              </w:rPr>
              <w:tab/>
            </w:r>
            <w:r>
              <w:rPr>
                <w:rFonts w:ascii="Times New Roman" w:hAnsi="Times New Roman"/>
                <w:szCs w:val="21"/>
                <w:u w:val="single"/>
              </w:rPr>
              <w:tab/>
            </w:r>
            <w:r>
              <w:rPr>
                <w:rFonts w:ascii="Times New Roman" w:hAnsi="Times New Roman"/>
                <w:szCs w:val="21"/>
                <w:u w:val="single"/>
              </w:rPr>
              <w:tab/>
            </w:r>
            <w:r>
              <w:rPr>
                <w:rFonts w:ascii="Times New Roman" w:hAnsi="Times New Roman"/>
                <w:szCs w:val="21"/>
                <w:u w:val="single"/>
              </w:rPr>
              <w:t xml:space="preserve">     </w:t>
            </w:r>
            <w:r>
              <w:rPr>
                <w:rFonts w:hint="eastAsia" w:ascii="Times New Roman" w:hAnsi="Times New Roman"/>
                <w:szCs w:val="21"/>
                <w:u w:val="single"/>
                <w:lang w:val="en-US" w:eastAsia="zh-CN"/>
              </w:rPr>
              <w:t xml:space="preserve">     </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color w:val="000000"/>
              </w:rPr>
              <w:t>（</w:t>
            </w:r>
            <w:r>
              <w:rPr>
                <w:rFonts w:hint="eastAsia" w:ascii="Times New Roman" w:hAnsi="Times New Roman"/>
                <w:color w:val="000000"/>
              </w:rPr>
              <w:t>盖</w:t>
            </w:r>
            <w:r>
              <w:rPr>
                <w:rFonts w:ascii="Times New Roman" w:hAnsi="Times New Roman"/>
                <w:color w:val="000000"/>
              </w:rPr>
              <w:t>单位</w:t>
            </w:r>
            <w:r>
              <w:rPr>
                <w:rFonts w:hint="eastAsia" w:ascii="Times New Roman" w:hAnsi="Times New Roman"/>
                <w:color w:val="000000"/>
              </w:rPr>
              <w:t>章</w:t>
            </w:r>
            <w:r>
              <w:rPr>
                <w:rFonts w:ascii="Times New Roman" w:hAnsi="Times New Roman"/>
                <w:color w:val="000000"/>
              </w:rPr>
              <w:t>）</w:t>
            </w:r>
          </w:p>
        </w:tc>
      </w:tr>
      <w:tr w14:paraId="5D4EE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765" w:type="dxa"/>
            <w:tcBorders>
              <w:top w:val="nil"/>
              <w:left w:val="nil"/>
              <w:bottom w:val="nil"/>
              <w:right w:val="nil"/>
            </w:tcBorders>
            <w:vAlign w:val="center"/>
          </w:tcPr>
          <w:p w14:paraId="612E8BCF">
            <w:pPr>
              <w:spacing w:line="240" w:lineRule="auto"/>
              <w:jc w:val="both"/>
              <w:rPr>
                <w:rFonts w:ascii="Times New Roman" w:hAnsi="Times New Roman"/>
                <w:color w:val="000000"/>
                <w:vertAlign w:val="baseline"/>
              </w:rPr>
            </w:pPr>
            <w:r>
              <w:rPr>
                <w:rFonts w:ascii="Times New Roman" w:hAnsi="Times New Roman"/>
                <w:color w:val="000000"/>
              </w:rPr>
              <w:t>法定代表人：</w:t>
            </w:r>
            <w:r>
              <w:rPr>
                <w:rFonts w:ascii="Times New Roman" w:hAnsi="Times New Roman"/>
                <w:szCs w:val="21"/>
                <w:u w:val="single"/>
              </w:rPr>
              <w:tab/>
            </w:r>
            <w:r>
              <w:rPr>
                <w:rFonts w:hint="eastAsia" w:ascii="Times New Roman" w:hAnsi="Times New Roman"/>
                <w:szCs w:val="21"/>
                <w:u w:val="single"/>
                <w:lang w:val="en-US" w:eastAsia="zh-CN"/>
              </w:rPr>
              <w:t xml:space="preserve">           </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color w:val="000000"/>
              </w:rPr>
              <w:t>（签字）</w:t>
            </w:r>
          </w:p>
        </w:tc>
        <w:tc>
          <w:tcPr>
            <w:tcW w:w="4766" w:type="dxa"/>
            <w:tcBorders>
              <w:top w:val="nil"/>
              <w:left w:val="nil"/>
              <w:bottom w:val="nil"/>
              <w:right w:val="nil"/>
            </w:tcBorders>
            <w:vAlign w:val="center"/>
          </w:tcPr>
          <w:p w14:paraId="736C985B">
            <w:pPr>
              <w:spacing w:line="240" w:lineRule="auto"/>
              <w:jc w:val="both"/>
              <w:rPr>
                <w:rFonts w:ascii="Times New Roman" w:hAnsi="Times New Roman"/>
                <w:color w:val="000000"/>
                <w:vertAlign w:val="baseline"/>
              </w:rPr>
            </w:pPr>
            <w:r>
              <w:rPr>
                <w:rFonts w:ascii="Times New Roman" w:hAnsi="Times New Roman"/>
                <w:color w:val="000000"/>
              </w:rPr>
              <w:t>身份证号码：</w:t>
            </w:r>
            <w:r>
              <w:rPr>
                <w:rFonts w:ascii="Times New Roman" w:hAnsi="Times New Roman"/>
                <w:szCs w:val="21"/>
                <w:u w:val="single"/>
              </w:rPr>
              <w:tab/>
            </w:r>
            <w:r>
              <w:rPr>
                <w:rFonts w:ascii="Times New Roman" w:hAnsi="Times New Roman"/>
                <w:szCs w:val="21"/>
                <w:u w:val="single"/>
              </w:rPr>
              <w:tab/>
            </w:r>
            <w:r>
              <w:rPr>
                <w:rFonts w:ascii="Times New Roman" w:hAnsi="Times New Roman"/>
                <w:szCs w:val="21"/>
                <w:u w:val="single"/>
              </w:rPr>
              <w:tab/>
            </w:r>
            <w:r>
              <w:rPr>
                <w:rFonts w:ascii="Times New Roman" w:hAnsi="Times New Roman"/>
                <w:szCs w:val="21"/>
                <w:u w:val="single"/>
              </w:rPr>
              <w:t xml:space="preserve">                    </w:t>
            </w:r>
          </w:p>
        </w:tc>
      </w:tr>
      <w:tr w14:paraId="46F6F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765" w:type="dxa"/>
            <w:tcBorders>
              <w:top w:val="nil"/>
              <w:left w:val="nil"/>
              <w:bottom w:val="nil"/>
              <w:right w:val="nil"/>
            </w:tcBorders>
            <w:vAlign w:val="center"/>
          </w:tcPr>
          <w:p w14:paraId="258EBCD6">
            <w:pPr>
              <w:spacing w:line="240" w:lineRule="auto"/>
              <w:jc w:val="both"/>
              <w:rPr>
                <w:rFonts w:ascii="Times New Roman" w:hAnsi="Times New Roman"/>
                <w:color w:val="000000"/>
                <w:vertAlign w:val="baseline"/>
              </w:rPr>
            </w:pPr>
            <w:r>
              <w:rPr>
                <w:rFonts w:ascii="Times New Roman" w:hAnsi="Times New Roman"/>
                <w:color w:val="000000"/>
              </w:rPr>
              <w:t>委托代理人：</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color w:val="000000"/>
              </w:rPr>
              <w:t>（签字）</w:t>
            </w:r>
          </w:p>
        </w:tc>
        <w:tc>
          <w:tcPr>
            <w:tcW w:w="4766" w:type="dxa"/>
            <w:tcBorders>
              <w:top w:val="nil"/>
              <w:left w:val="nil"/>
              <w:bottom w:val="nil"/>
              <w:right w:val="nil"/>
            </w:tcBorders>
            <w:vAlign w:val="center"/>
          </w:tcPr>
          <w:p w14:paraId="355AF882">
            <w:pPr>
              <w:spacing w:line="240" w:lineRule="auto"/>
              <w:jc w:val="both"/>
              <w:rPr>
                <w:rFonts w:ascii="Times New Roman" w:hAnsi="Times New Roman"/>
                <w:color w:val="000000"/>
                <w:vertAlign w:val="baseline"/>
              </w:rPr>
            </w:pPr>
            <w:r>
              <w:rPr>
                <w:rFonts w:ascii="Times New Roman" w:hAnsi="Times New Roman"/>
                <w:color w:val="000000"/>
              </w:rPr>
              <w:t>身份证号码：</w:t>
            </w:r>
            <w:r>
              <w:rPr>
                <w:rFonts w:ascii="Times New Roman" w:hAnsi="Times New Roman"/>
                <w:szCs w:val="21"/>
                <w:u w:val="single"/>
              </w:rPr>
              <w:tab/>
            </w:r>
            <w:r>
              <w:rPr>
                <w:rFonts w:ascii="Times New Roman" w:hAnsi="Times New Roman"/>
                <w:szCs w:val="21"/>
                <w:u w:val="single"/>
              </w:rPr>
              <w:tab/>
            </w:r>
            <w:r>
              <w:rPr>
                <w:rFonts w:ascii="Times New Roman" w:hAnsi="Times New Roman"/>
                <w:szCs w:val="21"/>
                <w:u w:val="single"/>
              </w:rPr>
              <w:tab/>
            </w:r>
            <w:r>
              <w:rPr>
                <w:rFonts w:ascii="Times New Roman" w:hAnsi="Times New Roman"/>
                <w:szCs w:val="21"/>
                <w:u w:val="single"/>
              </w:rPr>
              <w:t xml:space="preserve">                      </w:t>
            </w:r>
          </w:p>
        </w:tc>
      </w:tr>
      <w:tr w14:paraId="06948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765" w:type="dxa"/>
            <w:tcBorders>
              <w:top w:val="nil"/>
              <w:left w:val="nil"/>
              <w:bottom w:val="nil"/>
              <w:right w:val="nil"/>
            </w:tcBorders>
          </w:tcPr>
          <w:p w14:paraId="03E3F906">
            <w:pPr>
              <w:spacing w:line="440" w:lineRule="exact"/>
              <w:rPr>
                <w:rFonts w:ascii="Times New Roman" w:hAnsi="Times New Roman"/>
                <w:color w:val="000000"/>
              </w:rPr>
            </w:pPr>
          </w:p>
        </w:tc>
        <w:tc>
          <w:tcPr>
            <w:tcW w:w="4766" w:type="dxa"/>
            <w:tcBorders>
              <w:top w:val="nil"/>
              <w:left w:val="nil"/>
              <w:bottom w:val="nil"/>
              <w:right w:val="nil"/>
            </w:tcBorders>
            <w:vAlign w:val="center"/>
          </w:tcPr>
          <w:p w14:paraId="44F02020">
            <w:pPr>
              <w:spacing w:line="440" w:lineRule="exact"/>
              <w:jc w:val="right"/>
              <w:rPr>
                <w:rFonts w:ascii="Times New Roman" w:hAnsi="Times New Roman"/>
                <w:color w:val="000000"/>
              </w:rPr>
            </w:pPr>
            <w:r>
              <w:rPr>
                <w:rFonts w:ascii="Times New Roman" w:hAnsi="Times New Roman"/>
                <w:color w:val="000000"/>
              </w:rPr>
              <w:t>年</w:t>
            </w:r>
            <w:r>
              <w:rPr>
                <w:rFonts w:ascii="Times New Roman" w:hAnsi="Times New Roman"/>
                <w:color w:val="000000"/>
                <w:u w:val="single"/>
              </w:rPr>
              <w:t xml:space="preserve">       </w:t>
            </w:r>
            <w:r>
              <w:rPr>
                <w:rFonts w:ascii="Times New Roman" w:hAnsi="Times New Roman"/>
                <w:color w:val="000000"/>
              </w:rPr>
              <w:t>月</w:t>
            </w:r>
            <w:r>
              <w:rPr>
                <w:rFonts w:ascii="Times New Roman" w:hAnsi="Times New Roman"/>
                <w:color w:val="000000"/>
                <w:u w:val="single"/>
              </w:rPr>
              <w:t xml:space="preserve">       </w:t>
            </w:r>
            <w:r>
              <w:rPr>
                <w:rFonts w:ascii="Times New Roman" w:hAnsi="Times New Roman"/>
                <w:color w:val="000000"/>
              </w:rPr>
              <w:t>日</w:t>
            </w:r>
          </w:p>
        </w:tc>
      </w:tr>
    </w:tbl>
    <w:p w14:paraId="01E2D9A9">
      <w:pPr>
        <w:spacing w:line="440" w:lineRule="exact"/>
        <w:jc w:val="center"/>
        <w:rPr>
          <w:rFonts w:ascii="Times New Roman" w:hAnsi="Times New Roman"/>
          <w:color w:val="000000"/>
        </w:rPr>
      </w:pPr>
      <w:r>
        <w:rPr>
          <w:rFonts w:ascii="Times New Roman" w:hAnsi="Times New Roman"/>
          <w:color w:val="000000"/>
        </w:rPr>
        <w:t>注：本授权委托书需由投标人加盖单位公章并由其法定代表人和委托代理人签字。</w:t>
      </w:r>
    </w:p>
    <w:p w14:paraId="07739625">
      <w:pPr>
        <w:pStyle w:val="3"/>
        <w:jc w:val="center"/>
        <w:rPr>
          <w:rFonts w:ascii="Times New Roman" w:hAnsi="Times New Roman"/>
          <w:color w:val="000000"/>
        </w:rPr>
      </w:pPr>
      <w:bookmarkStart w:id="424" w:name="_Toc26184"/>
      <w:r>
        <w:rPr>
          <w:rFonts w:ascii="Times New Roman" w:hAnsi="Times New Roman"/>
          <w:color w:val="000000"/>
        </w:rPr>
        <w:t>三、联合体协议书</w:t>
      </w:r>
      <w:bookmarkEnd w:id="424"/>
    </w:p>
    <w:p w14:paraId="2E64846F">
      <w:pPr>
        <w:topLinePunct/>
        <w:spacing w:line="440" w:lineRule="exact"/>
        <w:ind w:firstLine="420" w:firstLineChars="200"/>
        <w:rPr>
          <w:rFonts w:ascii="Times New Roman" w:hAnsi="Times New Roman"/>
          <w:color w:val="000000"/>
        </w:rPr>
      </w:pPr>
      <w:r>
        <w:rPr>
          <w:rFonts w:ascii="Times New Roman" w:hAnsi="Times New Roman"/>
          <w:u w:val="single"/>
        </w:rPr>
        <w:t xml:space="preserve">                </w:t>
      </w:r>
      <w:r>
        <w:rPr>
          <w:rFonts w:ascii="Times New Roman" w:hAnsi="Times New Roman"/>
          <w:color w:val="000000"/>
        </w:rPr>
        <w:t>（所有成员单位名称）自愿组成</w:t>
      </w:r>
      <w:r>
        <w:rPr>
          <w:rFonts w:ascii="Times New Roman" w:hAnsi="Times New Roman"/>
          <w:u w:val="single"/>
        </w:rPr>
        <w:t xml:space="preserve">        </w:t>
      </w:r>
      <w:r>
        <w:rPr>
          <w:rFonts w:ascii="Times New Roman" w:hAnsi="Times New Roman"/>
          <w:color w:val="000000"/>
        </w:rPr>
        <w:t>（联合体名称）联合体，共同参加</w:t>
      </w:r>
      <w:r>
        <w:rPr>
          <w:rFonts w:ascii="Times New Roman" w:hAnsi="Times New Roman"/>
          <w:u w:val="single"/>
        </w:rPr>
        <w:t xml:space="preserve">               </w:t>
      </w:r>
      <w:r>
        <w:rPr>
          <w:rFonts w:hint="eastAsia" w:ascii="Times New Roman" w:hAnsi="Times New Roman"/>
        </w:rPr>
        <w:t>（项目名称）</w:t>
      </w:r>
      <w:r>
        <w:rPr>
          <w:rFonts w:ascii="Times New Roman" w:hAnsi="Times New Roman"/>
          <w:color w:val="000000"/>
        </w:rPr>
        <w:t>材料采购招标项目</w:t>
      </w:r>
      <w:r>
        <w:rPr>
          <w:rFonts w:ascii="Times New Roman" w:hAnsi="Times New Roman"/>
          <w:szCs w:val="21"/>
        </w:rPr>
        <w:t>投标。现就联</w:t>
      </w:r>
      <w:r>
        <w:rPr>
          <w:rFonts w:ascii="Times New Roman" w:hAnsi="Times New Roman"/>
          <w:color w:val="000000"/>
        </w:rPr>
        <w:t>合体投标事宜订立如下协议。</w:t>
      </w:r>
    </w:p>
    <w:p w14:paraId="32E3E3A1">
      <w:pPr>
        <w:topLinePunct/>
        <w:spacing w:line="440" w:lineRule="exact"/>
        <w:ind w:firstLine="420" w:firstLineChars="200"/>
        <w:rPr>
          <w:rFonts w:ascii="Times New Roman" w:hAnsi="Times New Roman"/>
          <w:color w:val="000000"/>
        </w:rPr>
      </w:pPr>
      <w:r>
        <w:rPr>
          <w:rFonts w:ascii="Times New Roman" w:hAnsi="Times New Roman"/>
          <w:color w:val="000000"/>
        </w:rPr>
        <w:t xml:space="preserve">1. </w:t>
      </w:r>
      <w:r>
        <w:rPr>
          <w:rFonts w:ascii="Times New Roman" w:hAnsi="Times New Roman"/>
          <w:u w:val="single"/>
        </w:rPr>
        <w:t xml:space="preserve">                  </w:t>
      </w:r>
      <w:r>
        <w:rPr>
          <w:rFonts w:ascii="Times New Roman" w:hAnsi="Times New Roman"/>
          <w:color w:val="000000"/>
        </w:rPr>
        <w:t>（某成员单位名称）为</w:t>
      </w:r>
      <w:r>
        <w:rPr>
          <w:rFonts w:ascii="Times New Roman" w:hAnsi="Times New Roman"/>
          <w:u w:val="single"/>
        </w:rPr>
        <w:t xml:space="preserve">        </w:t>
      </w:r>
      <w:r>
        <w:rPr>
          <w:rFonts w:ascii="Times New Roman" w:hAnsi="Times New Roman"/>
          <w:color w:val="000000"/>
        </w:rPr>
        <w:t>（联合体名称）牵头人。</w:t>
      </w:r>
    </w:p>
    <w:p w14:paraId="032E08F3">
      <w:pPr>
        <w:topLinePunct/>
        <w:spacing w:line="440" w:lineRule="exact"/>
        <w:ind w:firstLine="420" w:firstLineChars="200"/>
        <w:rPr>
          <w:rFonts w:ascii="Times New Roman" w:hAnsi="Times New Roman"/>
          <w:color w:val="000000"/>
        </w:rPr>
      </w:pPr>
      <w:r>
        <w:rPr>
          <w:rFonts w:ascii="Times New Roman" w:hAnsi="Times New Roman"/>
          <w:color w:val="000000"/>
        </w:rPr>
        <w:t>2. 联合体各成员授权牵头人代表联合体参加投标活动，签署文件，提交和接收相</w:t>
      </w:r>
      <w:bookmarkStart w:id="425" w:name="_Toc144974859"/>
      <w:bookmarkStart w:id="426" w:name="_Toc300835212"/>
      <w:bookmarkStart w:id="427" w:name="_Toc384308378"/>
      <w:bookmarkStart w:id="428" w:name="_Toc247514249"/>
      <w:bookmarkStart w:id="429" w:name="_Toc247527830"/>
      <w:bookmarkStart w:id="430" w:name="_Toc152045790"/>
      <w:bookmarkStart w:id="431" w:name="_Toc361508755"/>
      <w:bookmarkStart w:id="432" w:name="_Toc152042579"/>
      <w:r>
        <w:rPr>
          <w:rFonts w:ascii="Times New Roman" w:hAnsi="Times New Roman"/>
          <w:color w:val="000000"/>
        </w:rPr>
        <w:t>关的</w:t>
      </w:r>
      <w:bookmarkStart w:id="433" w:name="_Toc7749"/>
      <w:bookmarkStart w:id="434" w:name="_Toc369531700"/>
      <w:bookmarkStart w:id="435" w:name="_Toc352691664"/>
      <w:r>
        <w:rPr>
          <w:rFonts w:ascii="Times New Roman" w:hAnsi="Times New Roman"/>
          <w:color w:val="000000"/>
        </w:rPr>
        <w:t>资料、信息及</w:t>
      </w:r>
      <w:bookmarkEnd w:id="433"/>
      <w:bookmarkEnd w:id="434"/>
      <w:bookmarkEnd w:id="435"/>
      <w:r>
        <w:rPr>
          <w:rFonts w:ascii="Times New Roman" w:hAnsi="Times New Roman"/>
          <w:color w:val="000000"/>
        </w:rPr>
        <w:t>指</w:t>
      </w:r>
      <w:bookmarkEnd w:id="425"/>
      <w:bookmarkEnd w:id="426"/>
      <w:bookmarkEnd w:id="427"/>
      <w:bookmarkEnd w:id="428"/>
      <w:bookmarkEnd w:id="429"/>
      <w:bookmarkEnd w:id="430"/>
      <w:bookmarkEnd w:id="431"/>
      <w:bookmarkEnd w:id="432"/>
      <w:r>
        <w:rPr>
          <w:rFonts w:ascii="Times New Roman" w:hAnsi="Times New Roman"/>
          <w:color w:val="000000"/>
        </w:rPr>
        <w:t>示，进行合同谈判活动，负责合同实施阶段的组织和协调工作，以及处理与本招标项目有关的一切事宜。</w:t>
      </w:r>
    </w:p>
    <w:p w14:paraId="53456EE2">
      <w:pPr>
        <w:topLinePunct/>
        <w:spacing w:line="440" w:lineRule="exact"/>
        <w:ind w:firstLine="420" w:firstLineChars="200"/>
        <w:rPr>
          <w:rFonts w:ascii="Times New Roman" w:hAnsi="Times New Roman"/>
          <w:color w:val="000000"/>
        </w:rPr>
      </w:pPr>
      <w:r>
        <w:rPr>
          <w:rFonts w:ascii="Times New Roman" w:hAnsi="Times New Roman"/>
          <w:color w:val="000000"/>
        </w:rPr>
        <w:t>3</w:t>
      </w:r>
      <w:bookmarkStart w:id="436" w:name="_Toc352691665"/>
      <w:bookmarkStart w:id="437" w:name="_Toc152042580"/>
      <w:bookmarkStart w:id="438" w:name="_Toc144974860"/>
      <w:bookmarkStart w:id="439" w:name="_Toc247527831"/>
      <w:bookmarkStart w:id="440" w:name="_Toc27930"/>
      <w:bookmarkStart w:id="441" w:name="_Toc247514283"/>
      <w:bookmarkStart w:id="442" w:name="_Toc369531701"/>
      <w:bookmarkStart w:id="443" w:name="_Toc361508756"/>
      <w:bookmarkStart w:id="444" w:name="_Toc300835213"/>
      <w:bookmarkStart w:id="445" w:name="_Toc152045791"/>
      <w:bookmarkStart w:id="446" w:name="_Toc384308380"/>
      <w:r>
        <w:rPr>
          <w:rFonts w:ascii="Times New Roman" w:hAnsi="Times New Roman"/>
          <w:color w:val="000000"/>
        </w:rPr>
        <w:t>. 联合体牵头人在本项目中签署的一切文件和处理</w:t>
      </w:r>
      <w:bookmarkEnd w:id="436"/>
      <w:bookmarkEnd w:id="437"/>
      <w:bookmarkEnd w:id="438"/>
      <w:bookmarkEnd w:id="439"/>
      <w:bookmarkEnd w:id="440"/>
      <w:bookmarkEnd w:id="441"/>
      <w:bookmarkEnd w:id="442"/>
      <w:bookmarkEnd w:id="443"/>
      <w:bookmarkEnd w:id="444"/>
      <w:bookmarkEnd w:id="445"/>
      <w:bookmarkEnd w:id="446"/>
      <w:r>
        <w:rPr>
          <w:rFonts w:ascii="Times New Roman" w:hAnsi="Times New Roman"/>
          <w:color w:val="000000"/>
        </w:rPr>
        <w:t>的一切事宜，联合体各成员均予以承认。联合体各成员将严格按照招标文件、投标文件和合同的要求全面履行义务，并向招标人承担连带责任。</w:t>
      </w:r>
    </w:p>
    <w:p w14:paraId="06566511">
      <w:pPr>
        <w:topLinePunct/>
        <w:spacing w:line="440" w:lineRule="exact"/>
        <w:ind w:firstLine="420" w:firstLineChars="200"/>
        <w:rPr>
          <w:rFonts w:ascii="Times New Roman" w:hAnsi="Times New Roman"/>
          <w:color w:val="000000"/>
        </w:rPr>
      </w:pPr>
      <w:r>
        <w:rPr>
          <w:rFonts w:ascii="Times New Roman" w:hAnsi="Times New Roman"/>
          <w:color w:val="000000"/>
        </w:rPr>
        <w:t>4. 联合体各成员单位内部的职责分工如下：</w:t>
      </w:r>
      <w:r>
        <w:rPr>
          <w:rFonts w:ascii="Times New Roman" w:hAnsi="Times New Roman"/>
          <w:u w:val="single"/>
        </w:rPr>
        <w:t xml:space="preserve">                                       </w:t>
      </w:r>
      <w:r>
        <w:rPr>
          <w:rFonts w:ascii="Times New Roman" w:hAnsi="Times New Roman"/>
          <w:color w:val="000000"/>
        </w:rPr>
        <w:t>。</w:t>
      </w:r>
    </w:p>
    <w:p w14:paraId="797004D0">
      <w:pPr>
        <w:topLinePunct/>
        <w:spacing w:line="440" w:lineRule="exact"/>
        <w:ind w:firstLine="420" w:firstLineChars="200"/>
        <w:rPr>
          <w:rFonts w:ascii="Times New Roman" w:hAnsi="Times New Roman"/>
          <w:color w:val="000000"/>
        </w:rPr>
      </w:pPr>
      <w:r>
        <w:rPr>
          <w:rFonts w:ascii="Times New Roman" w:hAnsi="Times New Roman"/>
          <w:color w:val="000000"/>
        </w:rPr>
        <w:t>5. 本协议书自所有成员单位法定代表人（单位负责人）或其委托代理人签字或盖单位章之日起生效，</w:t>
      </w:r>
      <w:r>
        <w:rPr>
          <w:rFonts w:ascii="Times New Roman" w:hAnsi="Times New Roman"/>
          <w:szCs w:val="21"/>
        </w:rPr>
        <w:t>合同履行完毕后自动失效</w:t>
      </w:r>
      <w:r>
        <w:rPr>
          <w:rFonts w:ascii="Times New Roman" w:hAnsi="Times New Roman"/>
          <w:color w:val="000000"/>
        </w:rPr>
        <w:t>。</w:t>
      </w:r>
    </w:p>
    <w:p w14:paraId="563EEB02">
      <w:pPr>
        <w:topLinePunct/>
        <w:spacing w:line="440" w:lineRule="exact"/>
        <w:ind w:firstLine="420" w:firstLineChars="200"/>
        <w:rPr>
          <w:rFonts w:ascii="Times New Roman" w:hAnsi="Times New Roman"/>
          <w:color w:val="000000"/>
        </w:rPr>
      </w:pPr>
      <w:r>
        <w:rPr>
          <w:rFonts w:ascii="Times New Roman" w:hAnsi="Times New Roman"/>
          <w:color w:val="000000"/>
        </w:rPr>
        <w:t>6. 本协议书一式</w:t>
      </w:r>
      <w:r>
        <w:rPr>
          <w:rFonts w:ascii="Times New Roman" w:hAnsi="Times New Roman"/>
          <w:u w:val="single"/>
        </w:rPr>
        <w:t xml:space="preserve">    </w:t>
      </w:r>
      <w:r>
        <w:rPr>
          <w:rFonts w:ascii="Times New Roman" w:hAnsi="Times New Roman"/>
          <w:color w:val="000000"/>
        </w:rPr>
        <w:t>份，联合体成员和招标人各执一份。</w:t>
      </w:r>
    </w:p>
    <w:p w14:paraId="2B09B7AF">
      <w:pPr>
        <w:topLinePunct/>
        <w:spacing w:line="440" w:lineRule="exact"/>
        <w:ind w:firstLine="420" w:firstLineChars="200"/>
        <w:rPr>
          <w:rFonts w:ascii="Times New Roman" w:hAnsi="Times New Roman"/>
          <w:color w:val="000000"/>
        </w:rPr>
      </w:pPr>
    </w:p>
    <w:p w14:paraId="4A83205A">
      <w:pPr>
        <w:topLinePunct/>
        <w:spacing w:line="440" w:lineRule="exact"/>
        <w:ind w:firstLine="420" w:firstLineChars="200"/>
        <w:rPr>
          <w:rFonts w:ascii="Times New Roman" w:hAnsi="Times New Roman"/>
          <w:color w:val="000000"/>
        </w:rPr>
      </w:pPr>
      <w:r>
        <w:rPr>
          <w:rFonts w:ascii="Times New Roman" w:hAnsi="Times New Roman"/>
          <w:color w:val="000000"/>
        </w:rPr>
        <w:t>注：本协议书由法定代表人（单位负责人）签字的，应附法定代表人（单位负责人）身份证明；由委托代理人签字的，应附授权委托书。</w:t>
      </w:r>
    </w:p>
    <w:p w14:paraId="0AAC7DED">
      <w:pPr>
        <w:topLinePunct/>
        <w:spacing w:line="440" w:lineRule="exact"/>
        <w:rPr>
          <w:rFonts w:ascii="Times New Roman" w:hAnsi="Times New Roman"/>
          <w:color w:val="000000"/>
        </w:rPr>
      </w:pPr>
    </w:p>
    <w:p w14:paraId="4EFE76AA">
      <w:pPr>
        <w:topLinePunct/>
        <w:spacing w:line="440" w:lineRule="exact"/>
        <w:ind w:firstLine="2408" w:firstLineChars="1147"/>
        <w:rPr>
          <w:rFonts w:ascii="Times New Roman" w:hAnsi="Times New Roman"/>
          <w:color w:val="000000"/>
        </w:rPr>
      </w:pPr>
      <w:r>
        <w:rPr>
          <w:rFonts w:ascii="Times New Roman" w:hAnsi="Times New Roman"/>
          <w:color w:val="000000"/>
        </w:rPr>
        <w:t>联合体牵头人名称：</w:t>
      </w:r>
      <w:r>
        <w:rPr>
          <w:rFonts w:ascii="Times New Roman" w:hAnsi="Times New Roman"/>
          <w:szCs w:val="21"/>
          <w:u w:val="single"/>
        </w:rPr>
        <w:tab/>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u w:val="single"/>
        </w:rPr>
        <w:tab/>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color w:val="000000"/>
        </w:rPr>
        <w:t>（盖单位章）</w:t>
      </w:r>
    </w:p>
    <w:p w14:paraId="0731E38A">
      <w:pPr>
        <w:topLinePunct/>
        <w:spacing w:line="440" w:lineRule="exact"/>
        <w:ind w:firstLine="2408" w:firstLineChars="1147"/>
        <w:jc w:val="left"/>
        <w:rPr>
          <w:rFonts w:ascii="Times New Roman" w:hAnsi="Times New Roman"/>
          <w:color w:val="000000"/>
        </w:rPr>
      </w:pPr>
      <w:r>
        <w:rPr>
          <w:rFonts w:ascii="Times New Roman" w:hAnsi="Times New Roman"/>
          <w:color w:val="000000"/>
        </w:rPr>
        <w:t>法定代表人（单位负责人）或其委托代理人：</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color w:val="000000"/>
        </w:rPr>
        <w:t>（签字）</w:t>
      </w:r>
    </w:p>
    <w:p w14:paraId="4CB8C7EC">
      <w:pPr>
        <w:topLinePunct/>
        <w:spacing w:line="440" w:lineRule="exact"/>
        <w:ind w:firstLine="2408" w:firstLineChars="1147"/>
        <w:jc w:val="left"/>
        <w:rPr>
          <w:rFonts w:ascii="Times New Roman" w:hAnsi="Times New Roman"/>
          <w:color w:val="000000"/>
        </w:rPr>
      </w:pPr>
    </w:p>
    <w:p w14:paraId="448C5B1F">
      <w:pPr>
        <w:topLinePunct/>
        <w:spacing w:line="440" w:lineRule="exact"/>
        <w:ind w:firstLine="2408" w:firstLineChars="1147"/>
        <w:jc w:val="left"/>
        <w:rPr>
          <w:rFonts w:ascii="Times New Roman" w:hAnsi="Times New Roman"/>
          <w:color w:val="000000"/>
        </w:rPr>
      </w:pPr>
      <w:r>
        <w:rPr>
          <w:rFonts w:ascii="Times New Roman" w:hAnsi="Times New Roman"/>
          <w:color w:val="000000"/>
        </w:rPr>
        <w:t>联合体成员名称：</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color w:val="000000"/>
        </w:rPr>
        <w:t>（盖单位章）</w:t>
      </w:r>
    </w:p>
    <w:p w14:paraId="1E22B5A4">
      <w:pPr>
        <w:topLinePunct/>
        <w:spacing w:line="440" w:lineRule="exact"/>
        <w:ind w:firstLine="2408" w:firstLineChars="1147"/>
        <w:jc w:val="left"/>
        <w:rPr>
          <w:rFonts w:ascii="Times New Roman" w:hAnsi="Times New Roman"/>
          <w:color w:val="000000"/>
        </w:rPr>
      </w:pPr>
      <w:r>
        <w:rPr>
          <w:rFonts w:ascii="Times New Roman" w:hAnsi="Times New Roman"/>
          <w:color w:val="000000"/>
        </w:rPr>
        <w:t>法定代表人（单位负责人）或其委托代理人：</w:t>
      </w:r>
      <w:r>
        <w:rPr>
          <w:rFonts w:ascii="Times New Roman" w:hAnsi="Times New Roman"/>
          <w:szCs w:val="21"/>
          <w:u w:val="single"/>
        </w:rPr>
        <w:t xml:space="preserve">         </w:t>
      </w:r>
      <w:r>
        <w:rPr>
          <w:rFonts w:ascii="Times New Roman" w:hAnsi="Times New Roman"/>
          <w:color w:val="000000"/>
        </w:rPr>
        <w:t>（签字）</w:t>
      </w:r>
    </w:p>
    <w:p w14:paraId="3A76CA21">
      <w:pPr>
        <w:topLinePunct/>
        <w:spacing w:line="440" w:lineRule="exact"/>
        <w:ind w:firstLine="2408" w:firstLineChars="1147"/>
        <w:jc w:val="left"/>
        <w:rPr>
          <w:rFonts w:ascii="Times New Roman" w:hAnsi="Times New Roman"/>
          <w:color w:val="000000"/>
        </w:rPr>
      </w:pPr>
    </w:p>
    <w:p w14:paraId="4FB7775A">
      <w:pPr>
        <w:topLinePunct/>
        <w:spacing w:line="440" w:lineRule="exact"/>
        <w:ind w:firstLine="3700" w:firstLineChars="1762"/>
        <w:rPr>
          <w:rFonts w:ascii="Times New Roman" w:hAnsi="Times New Roman"/>
          <w:color w:val="000000"/>
        </w:rPr>
      </w:pPr>
      <w:r>
        <w:rPr>
          <w:rFonts w:ascii="Times New Roman" w:hAnsi="Times New Roman"/>
          <w:color w:val="000000"/>
          <w:u w:val="single"/>
        </w:rPr>
        <w:t xml:space="preserve">       </w:t>
      </w:r>
      <w:r>
        <w:rPr>
          <w:rFonts w:ascii="Times New Roman" w:hAnsi="Times New Roman"/>
          <w:color w:val="000000"/>
        </w:rPr>
        <w:t>年</w:t>
      </w:r>
      <w:r>
        <w:rPr>
          <w:rFonts w:ascii="Times New Roman" w:hAnsi="Times New Roman"/>
          <w:color w:val="000000"/>
          <w:u w:val="single"/>
        </w:rPr>
        <w:t xml:space="preserve">       </w:t>
      </w:r>
      <w:r>
        <w:rPr>
          <w:rFonts w:ascii="Times New Roman" w:hAnsi="Times New Roman"/>
          <w:color w:val="000000"/>
        </w:rPr>
        <w:t>月</w:t>
      </w:r>
      <w:r>
        <w:rPr>
          <w:rFonts w:ascii="Times New Roman" w:hAnsi="Times New Roman"/>
          <w:color w:val="000000"/>
          <w:u w:val="single"/>
        </w:rPr>
        <w:t xml:space="preserve">       </w:t>
      </w:r>
      <w:r>
        <w:rPr>
          <w:rFonts w:ascii="Times New Roman" w:hAnsi="Times New Roman"/>
          <w:color w:val="000000"/>
        </w:rPr>
        <w:t>日</w:t>
      </w:r>
      <w:r>
        <w:rPr>
          <w:rFonts w:ascii="Times New Roman" w:hAnsi="Times New Roman"/>
          <w:color w:val="000000"/>
        </w:rPr>
        <w:br w:type="page"/>
      </w:r>
    </w:p>
    <w:p w14:paraId="5C291C46">
      <w:pPr>
        <w:pStyle w:val="3"/>
        <w:jc w:val="center"/>
        <w:rPr>
          <w:rFonts w:ascii="Times New Roman" w:hAnsi="Times New Roman"/>
        </w:rPr>
      </w:pPr>
      <w:bookmarkStart w:id="447" w:name="_Toc25764"/>
      <w:r>
        <w:rPr>
          <w:rFonts w:ascii="Times New Roman" w:hAnsi="Times New Roman"/>
        </w:rPr>
        <w:t>四、</w:t>
      </w:r>
      <w:bookmarkStart w:id="448" w:name="_Toc152045792"/>
      <w:bookmarkStart w:id="449" w:name="_Toc247527832"/>
      <w:bookmarkStart w:id="450" w:name="_Toc13469"/>
      <w:bookmarkStart w:id="451" w:name="_Toc300835214"/>
      <w:bookmarkStart w:id="452" w:name="_Toc247514284"/>
      <w:bookmarkStart w:id="453" w:name="_Toc384308381"/>
      <w:bookmarkStart w:id="454" w:name="_Toc152042581"/>
      <w:bookmarkStart w:id="455" w:name="_Toc144974861"/>
      <w:bookmarkStart w:id="456" w:name="_Toc369531702"/>
      <w:bookmarkStart w:id="457" w:name="_Toc361508757"/>
      <w:bookmarkStart w:id="458" w:name="_Toc352691666"/>
      <w:r>
        <w:rPr>
          <w:rFonts w:ascii="Times New Roman" w:hAnsi="Times New Roman"/>
        </w:rPr>
        <w:t>投标保证金</w:t>
      </w:r>
      <w:bookmarkEnd w:id="447"/>
    </w:p>
    <w:bookmarkEnd w:id="448"/>
    <w:bookmarkEnd w:id="449"/>
    <w:bookmarkEnd w:id="450"/>
    <w:bookmarkEnd w:id="451"/>
    <w:bookmarkEnd w:id="452"/>
    <w:bookmarkEnd w:id="453"/>
    <w:bookmarkEnd w:id="454"/>
    <w:bookmarkEnd w:id="455"/>
    <w:bookmarkEnd w:id="456"/>
    <w:bookmarkEnd w:id="457"/>
    <w:bookmarkEnd w:id="458"/>
    <w:p w14:paraId="321E9856">
      <w:pPr>
        <w:keepNext w:val="0"/>
        <w:keepLines w:val="0"/>
        <w:pageBreakBefore w:val="0"/>
        <w:widowControl w:val="0"/>
        <w:kinsoku/>
        <w:wordWrap/>
        <w:overflowPunct/>
        <w:topLinePunct w:val="0"/>
        <w:autoSpaceDE/>
        <w:autoSpaceDN/>
        <w:bidi w:val="0"/>
        <w:adjustRightInd/>
        <w:snapToGrid/>
        <w:spacing w:before="240" w:beforeLines="100" w:after="120" w:afterLines="50" w:line="360" w:lineRule="auto"/>
        <w:ind w:firstLine="420" w:firstLineChars="200"/>
        <w:jc w:val="both"/>
        <w:textAlignment w:val="auto"/>
        <w:outlineLvl w:val="9"/>
        <w:rPr>
          <w:rFonts w:hint="eastAsia" w:ascii="宋体" w:hAnsi="宋体"/>
          <w:szCs w:val="21"/>
          <w:lang w:val="en-US" w:eastAsia="zh-CN"/>
        </w:rPr>
      </w:pPr>
      <w:r>
        <w:rPr>
          <w:rFonts w:hint="eastAsia" w:ascii="宋体" w:hAnsi="宋体"/>
          <w:szCs w:val="21"/>
          <w:lang w:val="en-US" w:eastAsia="zh-CN"/>
        </w:rPr>
        <w:t>此处上传保证金缴纳回执单或电子保函电子件。</w:t>
      </w:r>
    </w:p>
    <w:p w14:paraId="02DD6724">
      <w:pPr>
        <w:spacing w:line="440" w:lineRule="exact"/>
        <w:ind w:firstLine="2158" w:firstLineChars="1028"/>
        <w:jc w:val="right"/>
        <w:rPr>
          <w:rFonts w:ascii="Times New Roman" w:hAnsi="Times New Roman"/>
          <w:color w:val="000000"/>
          <w:u w:val="single"/>
        </w:rPr>
      </w:pPr>
    </w:p>
    <w:p w14:paraId="38901897">
      <w:pPr>
        <w:spacing w:line="440" w:lineRule="exact"/>
        <w:ind w:firstLine="2158" w:firstLineChars="1028"/>
        <w:rPr>
          <w:rFonts w:ascii="Times New Roman" w:hAnsi="Times New Roman"/>
          <w:color w:val="000000"/>
        </w:rPr>
      </w:pPr>
    </w:p>
    <w:p w14:paraId="459C6406">
      <w:pPr>
        <w:rPr>
          <w:rFonts w:ascii="Times New Roman" w:hAnsi="Times New Roman"/>
        </w:rPr>
      </w:pPr>
      <w:r>
        <w:rPr>
          <w:rFonts w:ascii="Times New Roman" w:hAnsi="Times New Roman"/>
        </w:rPr>
        <w:br w:type="page"/>
      </w:r>
    </w:p>
    <w:p w14:paraId="64234362">
      <w:pPr>
        <w:pStyle w:val="3"/>
        <w:jc w:val="center"/>
        <w:rPr>
          <w:rFonts w:ascii="Times New Roman" w:hAnsi="Times New Roman"/>
        </w:rPr>
      </w:pPr>
      <w:bookmarkStart w:id="459" w:name="_Toc22802"/>
      <w:r>
        <w:rPr>
          <w:rFonts w:ascii="Times New Roman" w:hAnsi="Times New Roman"/>
        </w:rPr>
        <w:t>五、商务和技术偏差表</w:t>
      </w:r>
      <w:bookmarkEnd w:id="459"/>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5"/>
        <w:gridCol w:w="2694"/>
        <w:gridCol w:w="2979"/>
        <w:gridCol w:w="1624"/>
      </w:tblGrid>
      <w:tr w14:paraId="137FE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25" w:type="dxa"/>
            <w:vAlign w:val="bottom"/>
          </w:tcPr>
          <w:p w14:paraId="0BE21F32">
            <w:pPr>
              <w:widowControl/>
              <w:snapToGrid w:val="0"/>
              <w:jc w:val="center"/>
              <w:rPr>
                <w:rFonts w:ascii="Times New Roman" w:hAnsi="Times New Roman"/>
                <w:b/>
                <w:kern w:val="0"/>
                <w:szCs w:val="21"/>
              </w:rPr>
            </w:pPr>
            <w:r>
              <w:rPr>
                <w:rFonts w:ascii="Times New Roman" w:hAnsi="Times New Roman"/>
                <w:b/>
                <w:kern w:val="0"/>
                <w:szCs w:val="21"/>
              </w:rPr>
              <w:t>序号</w:t>
            </w:r>
          </w:p>
        </w:tc>
        <w:tc>
          <w:tcPr>
            <w:tcW w:w="2694" w:type="dxa"/>
            <w:vAlign w:val="bottom"/>
          </w:tcPr>
          <w:p w14:paraId="690EDDFE">
            <w:pPr>
              <w:widowControl/>
              <w:snapToGrid w:val="0"/>
              <w:jc w:val="center"/>
              <w:rPr>
                <w:rFonts w:ascii="Times New Roman" w:hAnsi="Times New Roman"/>
                <w:b/>
                <w:kern w:val="0"/>
                <w:szCs w:val="21"/>
              </w:rPr>
            </w:pPr>
            <w:r>
              <w:rPr>
                <w:rFonts w:ascii="Times New Roman" w:hAnsi="Times New Roman"/>
                <w:b/>
                <w:kern w:val="0"/>
                <w:szCs w:val="21"/>
              </w:rPr>
              <w:t>招标文件章节及条款号</w:t>
            </w:r>
          </w:p>
        </w:tc>
        <w:tc>
          <w:tcPr>
            <w:tcW w:w="2979" w:type="dxa"/>
            <w:vAlign w:val="bottom"/>
          </w:tcPr>
          <w:p w14:paraId="0664E6B9">
            <w:pPr>
              <w:widowControl/>
              <w:snapToGrid w:val="0"/>
              <w:jc w:val="center"/>
              <w:rPr>
                <w:rFonts w:ascii="Times New Roman" w:hAnsi="Times New Roman"/>
                <w:b/>
                <w:kern w:val="0"/>
                <w:szCs w:val="21"/>
              </w:rPr>
            </w:pPr>
            <w:r>
              <w:rPr>
                <w:rFonts w:ascii="Times New Roman" w:hAnsi="Times New Roman"/>
                <w:b/>
                <w:kern w:val="0"/>
                <w:szCs w:val="21"/>
              </w:rPr>
              <w:t>投标文件章节及条款号</w:t>
            </w:r>
          </w:p>
        </w:tc>
        <w:tc>
          <w:tcPr>
            <w:tcW w:w="1624" w:type="dxa"/>
            <w:vAlign w:val="bottom"/>
          </w:tcPr>
          <w:p w14:paraId="2A16266E">
            <w:pPr>
              <w:widowControl/>
              <w:snapToGrid w:val="0"/>
              <w:jc w:val="center"/>
              <w:rPr>
                <w:rFonts w:ascii="Times New Roman" w:hAnsi="Times New Roman"/>
                <w:b/>
                <w:kern w:val="0"/>
                <w:szCs w:val="21"/>
              </w:rPr>
            </w:pPr>
            <w:r>
              <w:rPr>
                <w:rFonts w:ascii="Times New Roman" w:hAnsi="Times New Roman"/>
                <w:b/>
                <w:kern w:val="0"/>
                <w:szCs w:val="21"/>
              </w:rPr>
              <w:t>偏差说明</w:t>
            </w:r>
          </w:p>
        </w:tc>
      </w:tr>
      <w:tr w14:paraId="7BA1C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25" w:type="dxa"/>
            <w:vAlign w:val="bottom"/>
          </w:tcPr>
          <w:p w14:paraId="69A28B9D">
            <w:pPr>
              <w:widowControl/>
              <w:snapToGrid w:val="0"/>
              <w:jc w:val="center"/>
              <w:rPr>
                <w:rFonts w:ascii="Times New Roman" w:hAnsi="Times New Roman"/>
                <w:kern w:val="0"/>
                <w:szCs w:val="21"/>
              </w:rPr>
            </w:pPr>
            <w:r>
              <w:rPr>
                <w:rFonts w:ascii="Times New Roman" w:hAnsi="Times New Roman"/>
                <w:kern w:val="0"/>
                <w:szCs w:val="21"/>
              </w:rPr>
              <w:t>1</w:t>
            </w:r>
          </w:p>
        </w:tc>
        <w:tc>
          <w:tcPr>
            <w:tcW w:w="2694" w:type="dxa"/>
            <w:vAlign w:val="bottom"/>
          </w:tcPr>
          <w:p w14:paraId="13E66903">
            <w:pPr>
              <w:widowControl/>
              <w:snapToGrid w:val="0"/>
              <w:jc w:val="center"/>
              <w:rPr>
                <w:rFonts w:ascii="Times New Roman" w:hAnsi="Times New Roman"/>
                <w:kern w:val="0"/>
                <w:szCs w:val="21"/>
              </w:rPr>
            </w:pPr>
          </w:p>
        </w:tc>
        <w:tc>
          <w:tcPr>
            <w:tcW w:w="2979" w:type="dxa"/>
            <w:vAlign w:val="bottom"/>
          </w:tcPr>
          <w:p w14:paraId="104073D7">
            <w:pPr>
              <w:widowControl/>
              <w:snapToGrid w:val="0"/>
              <w:jc w:val="center"/>
              <w:rPr>
                <w:rFonts w:ascii="Times New Roman" w:hAnsi="Times New Roman"/>
                <w:kern w:val="0"/>
                <w:szCs w:val="21"/>
              </w:rPr>
            </w:pPr>
          </w:p>
        </w:tc>
        <w:tc>
          <w:tcPr>
            <w:tcW w:w="1624" w:type="dxa"/>
            <w:vAlign w:val="bottom"/>
          </w:tcPr>
          <w:p w14:paraId="7888AB05">
            <w:pPr>
              <w:widowControl/>
              <w:snapToGrid w:val="0"/>
              <w:jc w:val="center"/>
              <w:rPr>
                <w:rFonts w:ascii="Times New Roman" w:hAnsi="Times New Roman"/>
                <w:kern w:val="0"/>
                <w:szCs w:val="21"/>
              </w:rPr>
            </w:pPr>
          </w:p>
        </w:tc>
      </w:tr>
      <w:tr w14:paraId="4329E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25" w:type="dxa"/>
            <w:vAlign w:val="bottom"/>
          </w:tcPr>
          <w:p w14:paraId="02511ADD">
            <w:pPr>
              <w:widowControl/>
              <w:snapToGrid w:val="0"/>
              <w:jc w:val="center"/>
              <w:rPr>
                <w:rFonts w:ascii="Times New Roman" w:hAnsi="Times New Roman"/>
                <w:kern w:val="0"/>
                <w:szCs w:val="21"/>
              </w:rPr>
            </w:pPr>
            <w:r>
              <w:rPr>
                <w:rFonts w:ascii="Times New Roman" w:hAnsi="Times New Roman"/>
                <w:kern w:val="0"/>
                <w:szCs w:val="21"/>
              </w:rPr>
              <w:t>2</w:t>
            </w:r>
          </w:p>
        </w:tc>
        <w:tc>
          <w:tcPr>
            <w:tcW w:w="2694" w:type="dxa"/>
            <w:vAlign w:val="bottom"/>
          </w:tcPr>
          <w:p w14:paraId="5968A609">
            <w:pPr>
              <w:widowControl/>
              <w:snapToGrid w:val="0"/>
              <w:jc w:val="center"/>
              <w:rPr>
                <w:rFonts w:ascii="Times New Roman" w:hAnsi="Times New Roman"/>
                <w:kern w:val="0"/>
                <w:szCs w:val="21"/>
              </w:rPr>
            </w:pPr>
          </w:p>
        </w:tc>
        <w:tc>
          <w:tcPr>
            <w:tcW w:w="2979" w:type="dxa"/>
            <w:vAlign w:val="bottom"/>
          </w:tcPr>
          <w:p w14:paraId="52E61A6E">
            <w:pPr>
              <w:widowControl/>
              <w:snapToGrid w:val="0"/>
              <w:jc w:val="center"/>
              <w:rPr>
                <w:rFonts w:ascii="Times New Roman" w:hAnsi="Times New Roman"/>
                <w:kern w:val="0"/>
                <w:szCs w:val="21"/>
              </w:rPr>
            </w:pPr>
          </w:p>
        </w:tc>
        <w:tc>
          <w:tcPr>
            <w:tcW w:w="1624" w:type="dxa"/>
            <w:vAlign w:val="bottom"/>
          </w:tcPr>
          <w:p w14:paraId="485F1013">
            <w:pPr>
              <w:widowControl/>
              <w:snapToGrid w:val="0"/>
              <w:jc w:val="center"/>
              <w:rPr>
                <w:rFonts w:ascii="Times New Roman" w:hAnsi="Times New Roman"/>
                <w:kern w:val="0"/>
                <w:szCs w:val="21"/>
              </w:rPr>
            </w:pPr>
          </w:p>
        </w:tc>
      </w:tr>
      <w:tr w14:paraId="5F40D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25" w:type="dxa"/>
            <w:vAlign w:val="bottom"/>
          </w:tcPr>
          <w:p w14:paraId="6D21FB71">
            <w:pPr>
              <w:widowControl/>
              <w:snapToGrid w:val="0"/>
              <w:jc w:val="center"/>
              <w:rPr>
                <w:rFonts w:ascii="Times New Roman" w:hAnsi="Times New Roman"/>
                <w:kern w:val="0"/>
                <w:szCs w:val="21"/>
              </w:rPr>
            </w:pPr>
            <w:r>
              <w:rPr>
                <w:rFonts w:ascii="Times New Roman" w:hAnsi="Times New Roman"/>
                <w:kern w:val="0"/>
                <w:szCs w:val="21"/>
              </w:rPr>
              <w:t>3</w:t>
            </w:r>
          </w:p>
        </w:tc>
        <w:tc>
          <w:tcPr>
            <w:tcW w:w="2694" w:type="dxa"/>
            <w:vAlign w:val="bottom"/>
          </w:tcPr>
          <w:p w14:paraId="733DA347">
            <w:pPr>
              <w:widowControl/>
              <w:snapToGrid w:val="0"/>
              <w:jc w:val="center"/>
              <w:rPr>
                <w:rFonts w:ascii="Times New Roman" w:hAnsi="Times New Roman"/>
                <w:kern w:val="0"/>
                <w:szCs w:val="21"/>
              </w:rPr>
            </w:pPr>
          </w:p>
        </w:tc>
        <w:tc>
          <w:tcPr>
            <w:tcW w:w="2979" w:type="dxa"/>
            <w:vAlign w:val="bottom"/>
          </w:tcPr>
          <w:p w14:paraId="39A01D81">
            <w:pPr>
              <w:widowControl/>
              <w:snapToGrid w:val="0"/>
              <w:jc w:val="center"/>
              <w:rPr>
                <w:rFonts w:ascii="Times New Roman" w:hAnsi="Times New Roman"/>
                <w:kern w:val="0"/>
                <w:szCs w:val="21"/>
              </w:rPr>
            </w:pPr>
          </w:p>
        </w:tc>
        <w:tc>
          <w:tcPr>
            <w:tcW w:w="1624" w:type="dxa"/>
            <w:vAlign w:val="bottom"/>
          </w:tcPr>
          <w:p w14:paraId="6FD8E48B">
            <w:pPr>
              <w:widowControl/>
              <w:snapToGrid w:val="0"/>
              <w:jc w:val="center"/>
              <w:rPr>
                <w:rFonts w:ascii="Times New Roman" w:hAnsi="Times New Roman"/>
                <w:kern w:val="0"/>
                <w:szCs w:val="21"/>
              </w:rPr>
            </w:pPr>
          </w:p>
        </w:tc>
      </w:tr>
      <w:tr w14:paraId="5CAE6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25" w:type="dxa"/>
            <w:vAlign w:val="bottom"/>
          </w:tcPr>
          <w:p w14:paraId="2B0A5D17">
            <w:pPr>
              <w:widowControl/>
              <w:snapToGrid w:val="0"/>
              <w:jc w:val="center"/>
              <w:rPr>
                <w:rFonts w:ascii="Times New Roman" w:hAnsi="Times New Roman"/>
                <w:kern w:val="0"/>
                <w:szCs w:val="21"/>
              </w:rPr>
            </w:pPr>
            <w:r>
              <w:rPr>
                <w:rFonts w:ascii="Times New Roman" w:hAnsi="Times New Roman"/>
                <w:kern w:val="0"/>
                <w:szCs w:val="21"/>
              </w:rPr>
              <w:t>4</w:t>
            </w:r>
          </w:p>
        </w:tc>
        <w:tc>
          <w:tcPr>
            <w:tcW w:w="2694" w:type="dxa"/>
            <w:vAlign w:val="bottom"/>
          </w:tcPr>
          <w:p w14:paraId="3424234B">
            <w:pPr>
              <w:widowControl/>
              <w:snapToGrid w:val="0"/>
              <w:jc w:val="center"/>
              <w:rPr>
                <w:rFonts w:ascii="Times New Roman" w:hAnsi="Times New Roman"/>
                <w:kern w:val="0"/>
                <w:szCs w:val="21"/>
              </w:rPr>
            </w:pPr>
          </w:p>
        </w:tc>
        <w:tc>
          <w:tcPr>
            <w:tcW w:w="2979" w:type="dxa"/>
            <w:vAlign w:val="bottom"/>
          </w:tcPr>
          <w:p w14:paraId="70D6F8FA">
            <w:pPr>
              <w:widowControl/>
              <w:snapToGrid w:val="0"/>
              <w:jc w:val="center"/>
              <w:rPr>
                <w:rFonts w:ascii="Times New Roman" w:hAnsi="Times New Roman"/>
                <w:kern w:val="0"/>
                <w:szCs w:val="21"/>
              </w:rPr>
            </w:pPr>
          </w:p>
        </w:tc>
        <w:tc>
          <w:tcPr>
            <w:tcW w:w="1624" w:type="dxa"/>
            <w:vAlign w:val="bottom"/>
          </w:tcPr>
          <w:p w14:paraId="0A6A2529">
            <w:pPr>
              <w:widowControl/>
              <w:snapToGrid w:val="0"/>
              <w:jc w:val="center"/>
              <w:rPr>
                <w:rFonts w:ascii="Times New Roman" w:hAnsi="Times New Roman"/>
                <w:kern w:val="0"/>
                <w:szCs w:val="21"/>
              </w:rPr>
            </w:pPr>
          </w:p>
        </w:tc>
      </w:tr>
      <w:tr w14:paraId="47699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25" w:type="dxa"/>
            <w:vAlign w:val="bottom"/>
          </w:tcPr>
          <w:p w14:paraId="5AACB93F">
            <w:pPr>
              <w:widowControl/>
              <w:snapToGrid w:val="0"/>
              <w:jc w:val="center"/>
              <w:rPr>
                <w:rFonts w:ascii="Times New Roman" w:hAnsi="Times New Roman"/>
                <w:kern w:val="0"/>
                <w:szCs w:val="21"/>
              </w:rPr>
            </w:pPr>
            <w:r>
              <w:rPr>
                <w:rFonts w:ascii="Times New Roman" w:hAnsi="Times New Roman"/>
                <w:kern w:val="0"/>
                <w:szCs w:val="21"/>
              </w:rPr>
              <w:t>5</w:t>
            </w:r>
          </w:p>
        </w:tc>
        <w:tc>
          <w:tcPr>
            <w:tcW w:w="2694" w:type="dxa"/>
            <w:vAlign w:val="bottom"/>
          </w:tcPr>
          <w:p w14:paraId="08565A45">
            <w:pPr>
              <w:widowControl/>
              <w:snapToGrid w:val="0"/>
              <w:jc w:val="center"/>
              <w:rPr>
                <w:rFonts w:ascii="Times New Roman" w:hAnsi="Times New Roman"/>
                <w:kern w:val="0"/>
                <w:szCs w:val="21"/>
              </w:rPr>
            </w:pPr>
          </w:p>
        </w:tc>
        <w:tc>
          <w:tcPr>
            <w:tcW w:w="2979" w:type="dxa"/>
            <w:vAlign w:val="bottom"/>
          </w:tcPr>
          <w:p w14:paraId="284C78B3">
            <w:pPr>
              <w:widowControl/>
              <w:snapToGrid w:val="0"/>
              <w:jc w:val="center"/>
              <w:rPr>
                <w:rFonts w:ascii="Times New Roman" w:hAnsi="Times New Roman"/>
                <w:kern w:val="0"/>
                <w:szCs w:val="21"/>
              </w:rPr>
            </w:pPr>
          </w:p>
        </w:tc>
        <w:tc>
          <w:tcPr>
            <w:tcW w:w="1624" w:type="dxa"/>
            <w:vAlign w:val="bottom"/>
          </w:tcPr>
          <w:p w14:paraId="2B42FA64">
            <w:pPr>
              <w:widowControl/>
              <w:snapToGrid w:val="0"/>
              <w:jc w:val="center"/>
              <w:rPr>
                <w:rFonts w:ascii="Times New Roman" w:hAnsi="Times New Roman"/>
                <w:kern w:val="0"/>
                <w:szCs w:val="21"/>
              </w:rPr>
            </w:pPr>
          </w:p>
        </w:tc>
      </w:tr>
      <w:tr w14:paraId="6ADE7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25" w:type="dxa"/>
            <w:vAlign w:val="bottom"/>
          </w:tcPr>
          <w:p w14:paraId="22741CD9">
            <w:pPr>
              <w:widowControl/>
              <w:snapToGrid w:val="0"/>
              <w:jc w:val="center"/>
              <w:rPr>
                <w:rFonts w:ascii="Times New Roman" w:hAnsi="Times New Roman"/>
                <w:kern w:val="0"/>
                <w:szCs w:val="21"/>
              </w:rPr>
            </w:pPr>
            <w:r>
              <w:rPr>
                <w:rFonts w:ascii="Times New Roman" w:hAnsi="Times New Roman"/>
                <w:kern w:val="0"/>
                <w:szCs w:val="21"/>
              </w:rPr>
              <w:t>……</w:t>
            </w:r>
          </w:p>
        </w:tc>
        <w:tc>
          <w:tcPr>
            <w:tcW w:w="2694" w:type="dxa"/>
            <w:vAlign w:val="bottom"/>
          </w:tcPr>
          <w:p w14:paraId="1E57A079">
            <w:pPr>
              <w:widowControl/>
              <w:snapToGrid w:val="0"/>
              <w:jc w:val="center"/>
              <w:rPr>
                <w:rFonts w:ascii="Times New Roman" w:hAnsi="Times New Roman"/>
                <w:kern w:val="0"/>
                <w:szCs w:val="21"/>
              </w:rPr>
            </w:pPr>
          </w:p>
        </w:tc>
        <w:tc>
          <w:tcPr>
            <w:tcW w:w="2979" w:type="dxa"/>
            <w:vAlign w:val="bottom"/>
          </w:tcPr>
          <w:p w14:paraId="53F62399">
            <w:pPr>
              <w:widowControl/>
              <w:snapToGrid w:val="0"/>
              <w:jc w:val="center"/>
              <w:rPr>
                <w:rFonts w:ascii="Times New Roman" w:hAnsi="Times New Roman"/>
                <w:kern w:val="0"/>
                <w:szCs w:val="21"/>
              </w:rPr>
            </w:pPr>
          </w:p>
        </w:tc>
        <w:tc>
          <w:tcPr>
            <w:tcW w:w="1624" w:type="dxa"/>
            <w:vAlign w:val="bottom"/>
          </w:tcPr>
          <w:p w14:paraId="75352FC7">
            <w:pPr>
              <w:widowControl/>
              <w:snapToGrid w:val="0"/>
              <w:jc w:val="center"/>
              <w:rPr>
                <w:rFonts w:ascii="Times New Roman" w:hAnsi="Times New Roman"/>
                <w:kern w:val="0"/>
                <w:szCs w:val="21"/>
              </w:rPr>
            </w:pPr>
          </w:p>
        </w:tc>
      </w:tr>
    </w:tbl>
    <w:p w14:paraId="7A18D4BF">
      <w:pPr>
        <w:spacing w:line="440" w:lineRule="exact"/>
        <w:ind w:firstLine="420" w:firstLineChars="200"/>
        <w:rPr>
          <w:rFonts w:ascii="Times New Roman" w:hAnsi="Times New Roman"/>
          <w:szCs w:val="21"/>
        </w:rPr>
      </w:pPr>
      <w:r>
        <w:rPr>
          <w:rFonts w:ascii="Times New Roman" w:hAnsi="Times New Roman"/>
          <w:szCs w:val="21"/>
        </w:rPr>
        <w:t>投标人保证：除商务和技术偏差表列出的偏差外，投标人响应招标文件的全部要求。</w:t>
      </w:r>
    </w:p>
    <w:p w14:paraId="057F8D4E">
      <w:pPr>
        <w:spacing w:line="440" w:lineRule="exact"/>
        <w:jc w:val="center"/>
        <w:rPr>
          <w:rFonts w:ascii="Times New Roman" w:hAnsi="Times New Roman" w:eastAsia="黑体"/>
          <w:sz w:val="27"/>
          <w:szCs w:val="27"/>
        </w:rPr>
      </w:pPr>
      <w:r>
        <w:rPr>
          <w:rFonts w:ascii="Times New Roman" w:hAnsi="Times New Roman" w:eastAsia="黑体"/>
          <w:sz w:val="20"/>
        </w:rPr>
        <w:br w:type="page"/>
      </w:r>
    </w:p>
    <w:p w14:paraId="223C824D">
      <w:pPr>
        <w:pStyle w:val="3"/>
        <w:jc w:val="center"/>
        <w:rPr>
          <w:rFonts w:ascii="Times New Roman" w:hAnsi="Times New Roman"/>
        </w:rPr>
      </w:pPr>
      <w:bookmarkStart w:id="460" w:name="_Toc7605"/>
      <w:r>
        <w:rPr>
          <w:rFonts w:ascii="Times New Roman" w:hAnsi="Times New Roman"/>
        </w:rPr>
        <w:t>六、分项报价表</w:t>
      </w:r>
      <w:bookmarkEnd w:id="460"/>
    </w:p>
    <w:p w14:paraId="6E5B672E">
      <w:pPr>
        <w:spacing w:line="440" w:lineRule="exact"/>
        <w:ind w:firstLine="420" w:firstLineChars="200"/>
        <w:rPr>
          <w:rFonts w:ascii="Times New Roman" w:hAnsi="Times New Roman"/>
          <w:szCs w:val="21"/>
        </w:rPr>
      </w:pPr>
      <w:bookmarkStart w:id="461" w:name="_Toc361508760"/>
      <w:r>
        <w:rPr>
          <w:rFonts w:hint="eastAsia" w:ascii="Times New Roman" w:hAnsi="Times New Roman"/>
          <w:szCs w:val="21"/>
        </w:rPr>
        <w:t>1. 分项报价表说明</w:t>
      </w:r>
    </w:p>
    <w:p w14:paraId="69CE7E87">
      <w:pPr>
        <w:spacing w:line="440" w:lineRule="exact"/>
        <w:ind w:firstLine="420" w:firstLineChars="200"/>
        <w:rPr>
          <w:rFonts w:ascii="Times New Roman" w:hAnsi="Times New Roman"/>
          <w:szCs w:val="21"/>
        </w:rPr>
      </w:pPr>
      <w:r>
        <w:rPr>
          <w:rFonts w:hint="eastAsia" w:ascii="Times New Roman" w:hAnsi="Times New Roman"/>
          <w:szCs w:val="21"/>
        </w:rPr>
        <w:t>2. 分项报价表</w:t>
      </w:r>
    </w:p>
    <w:p w14:paraId="4446EB00">
      <w:pPr>
        <w:spacing w:line="440" w:lineRule="exact"/>
        <w:ind w:firstLine="420" w:firstLineChars="200"/>
        <w:jc w:val="right"/>
        <w:rPr>
          <w:rFonts w:ascii="Times New Roman" w:hAnsi="Times New Roman"/>
          <w:szCs w:val="21"/>
        </w:rPr>
      </w:pPr>
      <w:r>
        <w:rPr>
          <w:rFonts w:hint="eastAsia" w:ascii="Times New Roman" w:hAnsi="Times New Roman"/>
          <w:szCs w:val="21"/>
        </w:rPr>
        <w:t>单位：人民币元</w:t>
      </w:r>
    </w:p>
    <w:tbl>
      <w:tblPr>
        <w:tblStyle w:val="25"/>
        <w:tblW w:w="8789" w:type="dxa"/>
        <w:tblInd w:w="108" w:type="dxa"/>
        <w:tblLayout w:type="fixed"/>
        <w:tblCellMar>
          <w:top w:w="0" w:type="dxa"/>
          <w:left w:w="108" w:type="dxa"/>
          <w:bottom w:w="0" w:type="dxa"/>
          <w:right w:w="108" w:type="dxa"/>
        </w:tblCellMar>
      </w:tblPr>
      <w:tblGrid>
        <w:gridCol w:w="709"/>
        <w:gridCol w:w="1559"/>
        <w:gridCol w:w="993"/>
        <w:gridCol w:w="1134"/>
        <w:gridCol w:w="1417"/>
        <w:gridCol w:w="1701"/>
        <w:gridCol w:w="1276"/>
      </w:tblGrid>
      <w:tr w14:paraId="67AD5FD0">
        <w:tblPrEx>
          <w:tblCellMar>
            <w:top w:w="0" w:type="dxa"/>
            <w:left w:w="108" w:type="dxa"/>
            <w:bottom w:w="0" w:type="dxa"/>
            <w:right w:w="108" w:type="dxa"/>
          </w:tblCellMar>
        </w:tblPrEx>
        <w:trPr>
          <w:trHeight w:val="405" w:hRule="atLeast"/>
        </w:trPr>
        <w:tc>
          <w:tcPr>
            <w:tcW w:w="709" w:type="dxa"/>
            <w:tcBorders>
              <w:top w:val="single" w:color="auto" w:sz="4" w:space="0"/>
              <w:left w:val="single" w:color="auto" w:sz="4" w:space="0"/>
              <w:bottom w:val="single" w:color="auto" w:sz="4" w:space="0"/>
              <w:right w:val="single" w:color="auto" w:sz="4" w:space="0"/>
            </w:tcBorders>
            <w:vAlign w:val="center"/>
          </w:tcPr>
          <w:p w14:paraId="7CC32D26">
            <w:pPr>
              <w:widowControl/>
              <w:jc w:val="center"/>
              <w:rPr>
                <w:rFonts w:ascii="Times New Roman" w:hAnsi="Times New Roman"/>
                <w:b/>
                <w:kern w:val="0"/>
                <w:szCs w:val="21"/>
              </w:rPr>
            </w:pPr>
            <w:r>
              <w:rPr>
                <w:rFonts w:ascii="Times New Roman" w:hAnsi="Times New Roman"/>
                <w:b/>
                <w:kern w:val="0"/>
                <w:szCs w:val="21"/>
              </w:rPr>
              <w:t>序号</w:t>
            </w:r>
          </w:p>
        </w:tc>
        <w:tc>
          <w:tcPr>
            <w:tcW w:w="1559" w:type="dxa"/>
            <w:tcBorders>
              <w:top w:val="single" w:color="auto" w:sz="4" w:space="0"/>
              <w:left w:val="nil"/>
              <w:bottom w:val="single" w:color="auto" w:sz="4" w:space="0"/>
              <w:right w:val="single" w:color="auto" w:sz="4" w:space="0"/>
            </w:tcBorders>
            <w:vAlign w:val="center"/>
          </w:tcPr>
          <w:p w14:paraId="54C97A9C">
            <w:pPr>
              <w:widowControl/>
              <w:jc w:val="center"/>
              <w:rPr>
                <w:rFonts w:ascii="Times New Roman" w:hAnsi="Times New Roman"/>
                <w:b/>
                <w:kern w:val="0"/>
                <w:szCs w:val="21"/>
              </w:rPr>
            </w:pPr>
            <w:r>
              <w:rPr>
                <w:rFonts w:ascii="Times New Roman" w:hAnsi="Times New Roman"/>
                <w:b/>
                <w:kern w:val="0"/>
                <w:szCs w:val="21"/>
              </w:rPr>
              <w:t>分项名称</w:t>
            </w:r>
          </w:p>
        </w:tc>
        <w:tc>
          <w:tcPr>
            <w:tcW w:w="993" w:type="dxa"/>
            <w:tcBorders>
              <w:top w:val="single" w:color="auto" w:sz="4" w:space="0"/>
              <w:left w:val="nil"/>
              <w:bottom w:val="single" w:color="auto" w:sz="4" w:space="0"/>
              <w:right w:val="single" w:color="auto" w:sz="4" w:space="0"/>
            </w:tcBorders>
            <w:vAlign w:val="center"/>
          </w:tcPr>
          <w:p w14:paraId="671EB83C">
            <w:pPr>
              <w:widowControl/>
              <w:jc w:val="center"/>
              <w:rPr>
                <w:rFonts w:ascii="Times New Roman" w:hAnsi="Times New Roman"/>
                <w:b/>
                <w:kern w:val="0"/>
                <w:szCs w:val="21"/>
              </w:rPr>
            </w:pPr>
            <w:r>
              <w:rPr>
                <w:rFonts w:ascii="Times New Roman" w:hAnsi="Times New Roman"/>
                <w:b/>
                <w:kern w:val="0"/>
                <w:szCs w:val="21"/>
              </w:rPr>
              <w:t>单位</w:t>
            </w:r>
          </w:p>
        </w:tc>
        <w:tc>
          <w:tcPr>
            <w:tcW w:w="1134" w:type="dxa"/>
            <w:tcBorders>
              <w:top w:val="single" w:color="auto" w:sz="4" w:space="0"/>
              <w:left w:val="nil"/>
              <w:bottom w:val="single" w:color="auto" w:sz="4" w:space="0"/>
              <w:right w:val="single" w:color="auto" w:sz="4" w:space="0"/>
            </w:tcBorders>
            <w:vAlign w:val="center"/>
          </w:tcPr>
          <w:p w14:paraId="19C607EF">
            <w:pPr>
              <w:widowControl/>
              <w:jc w:val="center"/>
              <w:rPr>
                <w:rFonts w:ascii="Times New Roman" w:hAnsi="Times New Roman"/>
                <w:b/>
                <w:kern w:val="0"/>
                <w:szCs w:val="21"/>
              </w:rPr>
            </w:pPr>
            <w:r>
              <w:rPr>
                <w:rFonts w:ascii="Times New Roman" w:hAnsi="Times New Roman"/>
                <w:b/>
                <w:kern w:val="0"/>
                <w:szCs w:val="21"/>
              </w:rPr>
              <w:t>数量</w:t>
            </w:r>
          </w:p>
        </w:tc>
        <w:tc>
          <w:tcPr>
            <w:tcW w:w="1417" w:type="dxa"/>
            <w:tcBorders>
              <w:top w:val="single" w:color="auto" w:sz="4" w:space="0"/>
              <w:left w:val="nil"/>
              <w:bottom w:val="single" w:color="auto" w:sz="4" w:space="0"/>
              <w:right w:val="single" w:color="auto" w:sz="4" w:space="0"/>
            </w:tcBorders>
            <w:vAlign w:val="center"/>
          </w:tcPr>
          <w:p w14:paraId="3CD3DDC8">
            <w:pPr>
              <w:widowControl/>
              <w:jc w:val="center"/>
              <w:rPr>
                <w:rFonts w:ascii="Times New Roman" w:hAnsi="Times New Roman"/>
                <w:b/>
                <w:kern w:val="0"/>
                <w:szCs w:val="21"/>
              </w:rPr>
            </w:pPr>
            <w:r>
              <w:rPr>
                <w:rFonts w:ascii="Times New Roman" w:hAnsi="Times New Roman"/>
                <w:b/>
                <w:kern w:val="0"/>
                <w:szCs w:val="21"/>
              </w:rPr>
              <w:t>单价（元）</w:t>
            </w:r>
          </w:p>
        </w:tc>
        <w:tc>
          <w:tcPr>
            <w:tcW w:w="1701" w:type="dxa"/>
            <w:tcBorders>
              <w:top w:val="single" w:color="auto" w:sz="4" w:space="0"/>
              <w:left w:val="nil"/>
              <w:bottom w:val="single" w:color="auto" w:sz="4" w:space="0"/>
              <w:right w:val="single" w:color="auto" w:sz="4" w:space="0"/>
            </w:tcBorders>
            <w:vAlign w:val="center"/>
          </w:tcPr>
          <w:p w14:paraId="391669BF">
            <w:pPr>
              <w:widowControl/>
              <w:jc w:val="center"/>
              <w:rPr>
                <w:rFonts w:ascii="Times New Roman" w:hAnsi="Times New Roman"/>
                <w:b/>
                <w:kern w:val="0"/>
                <w:szCs w:val="21"/>
              </w:rPr>
            </w:pPr>
            <w:r>
              <w:rPr>
                <w:rFonts w:ascii="Times New Roman" w:hAnsi="Times New Roman"/>
                <w:b/>
                <w:kern w:val="0"/>
                <w:szCs w:val="21"/>
              </w:rPr>
              <w:t>总价（元）</w:t>
            </w:r>
          </w:p>
        </w:tc>
        <w:tc>
          <w:tcPr>
            <w:tcW w:w="1276" w:type="dxa"/>
            <w:tcBorders>
              <w:top w:val="single" w:color="auto" w:sz="4" w:space="0"/>
              <w:left w:val="nil"/>
              <w:bottom w:val="single" w:color="auto" w:sz="4" w:space="0"/>
              <w:right w:val="single" w:color="auto" w:sz="4" w:space="0"/>
            </w:tcBorders>
            <w:vAlign w:val="center"/>
          </w:tcPr>
          <w:p w14:paraId="094320C4">
            <w:pPr>
              <w:widowControl/>
              <w:jc w:val="center"/>
              <w:rPr>
                <w:rFonts w:ascii="Times New Roman" w:hAnsi="Times New Roman"/>
                <w:b/>
                <w:kern w:val="0"/>
                <w:szCs w:val="21"/>
              </w:rPr>
            </w:pPr>
            <w:r>
              <w:rPr>
                <w:rFonts w:ascii="Times New Roman" w:hAnsi="Times New Roman"/>
                <w:b/>
                <w:kern w:val="0"/>
                <w:szCs w:val="21"/>
              </w:rPr>
              <w:t>备注</w:t>
            </w:r>
          </w:p>
        </w:tc>
      </w:tr>
      <w:tr w14:paraId="2A502E2A">
        <w:tblPrEx>
          <w:tblCellMar>
            <w:top w:w="0" w:type="dxa"/>
            <w:left w:w="108" w:type="dxa"/>
            <w:bottom w:w="0" w:type="dxa"/>
            <w:right w:w="108" w:type="dxa"/>
          </w:tblCellMar>
        </w:tblPrEx>
        <w:trPr>
          <w:trHeight w:val="405" w:hRule="atLeast"/>
        </w:trPr>
        <w:tc>
          <w:tcPr>
            <w:tcW w:w="709" w:type="dxa"/>
            <w:tcBorders>
              <w:top w:val="nil"/>
              <w:left w:val="single" w:color="auto" w:sz="4" w:space="0"/>
              <w:bottom w:val="single" w:color="auto" w:sz="4" w:space="0"/>
              <w:right w:val="single" w:color="auto" w:sz="4" w:space="0"/>
            </w:tcBorders>
            <w:vAlign w:val="center"/>
          </w:tcPr>
          <w:p w14:paraId="5E9A9D48">
            <w:pPr>
              <w:widowControl/>
              <w:jc w:val="center"/>
              <w:rPr>
                <w:rFonts w:ascii="Times New Roman" w:hAnsi="Times New Roman"/>
                <w:kern w:val="0"/>
                <w:szCs w:val="21"/>
              </w:rPr>
            </w:pPr>
            <w:r>
              <w:rPr>
                <w:rFonts w:ascii="Times New Roman" w:hAnsi="Times New Roman"/>
                <w:kern w:val="0"/>
                <w:szCs w:val="21"/>
              </w:rPr>
              <w:t>1</w:t>
            </w:r>
          </w:p>
        </w:tc>
        <w:tc>
          <w:tcPr>
            <w:tcW w:w="1559" w:type="dxa"/>
            <w:tcBorders>
              <w:top w:val="nil"/>
              <w:left w:val="nil"/>
              <w:bottom w:val="single" w:color="auto" w:sz="4" w:space="0"/>
              <w:right w:val="single" w:color="auto" w:sz="4" w:space="0"/>
            </w:tcBorders>
            <w:vAlign w:val="center"/>
          </w:tcPr>
          <w:p w14:paraId="318C0260">
            <w:pPr>
              <w:widowControl/>
              <w:jc w:val="center"/>
              <w:rPr>
                <w:rFonts w:ascii="Times New Roman" w:hAnsi="Times New Roman"/>
                <w:kern w:val="0"/>
                <w:szCs w:val="21"/>
              </w:rPr>
            </w:pPr>
          </w:p>
        </w:tc>
        <w:tc>
          <w:tcPr>
            <w:tcW w:w="993" w:type="dxa"/>
            <w:tcBorders>
              <w:top w:val="single" w:color="auto" w:sz="4" w:space="0"/>
              <w:left w:val="nil"/>
              <w:bottom w:val="single" w:color="auto" w:sz="4" w:space="0"/>
              <w:right w:val="single" w:color="auto" w:sz="4" w:space="0"/>
            </w:tcBorders>
            <w:vAlign w:val="center"/>
          </w:tcPr>
          <w:p w14:paraId="1414B920">
            <w:pPr>
              <w:jc w:val="center"/>
              <w:rPr>
                <w:rFonts w:ascii="Times New Roman" w:hAnsi="Times New Roman"/>
                <w:kern w:val="0"/>
                <w:szCs w:val="21"/>
              </w:rPr>
            </w:pPr>
          </w:p>
        </w:tc>
        <w:tc>
          <w:tcPr>
            <w:tcW w:w="1134" w:type="dxa"/>
            <w:tcBorders>
              <w:top w:val="single" w:color="auto" w:sz="4" w:space="0"/>
              <w:left w:val="nil"/>
              <w:bottom w:val="single" w:color="auto" w:sz="4" w:space="0"/>
              <w:right w:val="single" w:color="auto" w:sz="4" w:space="0"/>
            </w:tcBorders>
            <w:vAlign w:val="center"/>
          </w:tcPr>
          <w:p w14:paraId="61EEA1BB">
            <w:pPr>
              <w:jc w:val="center"/>
              <w:rPr>
                <w:rFonts w:ascii="Times New Roman" w:hAnsi="Times New Roman"/>
                <w:kern w:val="0"/>
                <w:szCs w:val="21"/>
              </w:rPr>
            </w:pPr>
          </w:p>
        </w:tc>
        <w:tc>
          <w:tcPr>
            <w:tcW w:w="1417" w:type="dxa"/>
            <w:tcBorders>
              <w:top w:val="nil"/>
              <w:left w:val="nil"/>
              <w:bottom w:val="single" w:color="auto" w:sz="4" w:space="0"/>
              <w:right w:val="single" w:color="auto" w:sz="4" w:space="0"/>
            </w:tcBorders>
            <w:vAlign w:val="center"/>
          </w:tcPr>
          <w:p w14:paraId="6E523C9C">
            <w:pPr>
              <w:widowControl/>
              <w:jc w:val="center"/>
              <w:rPr>
                <w:rFonts w:ascii="Times New Roman" w:hAnsi="Times New Roman"/>
                <w:kern w:val="0"/>
                <w:szCs w:val="21"/>
              </w:rPr>
            </w:pPr>
          </w:p>
        </w:tc>
        <w:tc>
          <w:tcPr>
            <w:tcW w:w="1701" w:type="dxa"/>
            <w:tcBorders>
              <w:top w:val="nil"/>
              <w:left w:val="nil"/>
              <w:bottom w:val="single" w:color="auto" w:sz="4" w:space="0"/>
              <w:right w:val="single" w:color="auto" w:sz="4" w:space="0"/>
            </w:tcBorders>
            <w:vAlign w:val="center"/>
          </w:tcPr>
          <w:p w14:paraId="79871643">
            <w:pPr>
              <w:widowControl/>
              <w:jc w:val="center"/>
              <w:rPr>
                <w:rFonts w:ascii="Times New Roman" w:hAnsi="Times New Roman"/>
                <w:kern w:val="0"/>
                <w:szCs w:val="21"/>
              </w:rPr>
            </w:pPr>
          </w:p>
        </w:tc>
        <w:tc>
          <w:tcPr>
            <w:tcW w:w="1276" w:type="dxa"/>
            <w:tcBorders>
              <w:top w:val="nil"/>
              <w:left w:val="nil"/>
              <w:bottom w:val="single" w:color="auto" w:sz="4" w:space="0"/>
              <w:right w:val="single" w:color="auto" w:sz="4" w:space="0"/>
            </w:tcBorders>
          </w:tcPr>
          <w:p w14:paraId="2832F946">
            <w:pPr>
              <w:widowControl/>
              <w:jc w:val="center"/>
              <w:rPr>
                <w:rFonts w:ascii="Times New Roman" w:hAnsi="Times New Roman"/>
                <w:kern w:val="0"/>
                <w:szCs w:val="21"/>
              </w:rPr>
            </w:pPr>
          </w:p>
        </w:tc>
      </w:tr>
      <w:tr w14:paraId="69E78BC4">
        <w:tblPrEx>
          <w:tblCellMar>
            <w:top w:w="0" w:type="dxa"/>
            <w:left w:w="108" w:type="dxa"/>
            <w:bottom w:w="0" w:type="dxa"/>
            <w:right w:w="108" w:type="dxa"/>
          </w:tblCellMar>
        </w:tblPrEx>
        <w:trPr>
          <w:trHeight w:val="405" w:hRule="atLeast"/>
        </w:trPr>
        <w:tc>
          <w:tcPr>
            <w:tcW w:w="709" w:type="dxa"/>
            <w:tcBorders>
              <w:top w:val="nil"/>
              <w:left w:val="single" w:color="auto" w:sz="4" w:space="0"/>
              <w:bottom w:val="single" w:color="auto" w:sz="4" w:space="0"/>
              <w:right w:val="single" w:color="auto" w:sz="4" w:space="0"/>
            </w:tcBorders>
            <w:vAlign w:val="center"/>
          </w:tcPr>
          <w:p w14:paraId="26BBEC9B">
            <w:pPr>
              <w:widowControl/>
              <w:jc w:val="center"/>
              <w:rPr>
                <w:rFonts w:ascii="Times New Roman" w:hAnsi="Times New Roman"/>
                <w:kern w:val="0"/>
                <w:szCs w:val="21"/>
              </w:rPr>
            </w:pPr>
            <w:r>
              <w:rPr>
                <w:rFonts w:ascii="Times New Roman" w:hAnsi="Times New Roman"/>
                <w:kern w:val="0"/>
                <w:szCs w:val="21"/>
              </w:rPr>
              <w:t>2</w:t>
            </w:r>
          </w:p>
        </w:tc>
        <w:tc>
          <w:tcPr>
            <w:tcW w:w="1559" w:type="dxa"/>
            <w:tcBorders>
              <w:top w:val="nil"/>
              <w:left w:val="nil"/>
              <w:bottom w:val="single" w:color="auto" w:sz="4" w:space="0"/>
              <w:right w:val="single" w:color="auto" w:sz="4" w:space="0"/>
            </w:tcBorders>
            <w:vAlign w:val="center"/>
          </w:tcPr>
          <w:p w14:paraId="1B88B90E">
            <w:pPr>
              <w:widowControl/>
              <w:jc w:val="center"/>
              <w:rPr>
                <w:rFonts w:ascii="Times New Roman" w:hAnsi="Times New Roman"/>
                <w:kern w:val="0"/>
                <w:szCs w:val="21"/>
              </w:rPr>
            </w:pPr>
          </w:p>
        </w:tc>
        <w:tc>
          <w:tcPr>
            <w:tcW w:w="993" w:type="dxa"/>
            <w:tcBorders>
              <w:top w:val="single" w:color="auto" w:sz="4" w:space="0"/>
              <w:left w:val="nil"/>
              <w:bottom w:val="single" w:color="auto" w:sz="4" w:space="0"/>
              <w:right w:val="single" w:color="auto" w:sz="4" w:space="0"/>
            </w:tcBorders>
            <w:vAlign w:val="center"/>
          </w:tcPr>
          <w:p w14:paraId="4A36F8EF">
            <w:pPr>
              <w:jc w:val="center"/>
              <w:rPr>
                <w:rFonts w:ascii="Times New Roman" w:hAnsi="Times New Roman"/>
                <w:kern w:val="0"/>
                <w:szCs w:val="21"/>
              </w:rPr>
            </w:pPr>
          </w:p>
        </w:tc>
        <w:tc>
          <w:tcPr>
            <w:tcW w:w="1134" w:type="dxa"/>
            <w:tcBorders>
              <w:top w:val="single" w:color="auto" w:sz="4" w:space="0"/>
              <w:left w:val="nil"/>
              <w:bottom w:val="single" w:color="auto" w:sz="4" w:space="0"/>
              <w:right w:val="single" w:color="auto" w:sz="4" w:space="0"/>
            </w:tcBorders>
            <w:vAlign w:val="center"/>
          </w:tcPr>
          <w:p w14:paraId="69105514">
            <w:pPr>
              <w:jc w:val="center"/>
              <w:rPr>
                <w:rFonts w:ascii="Times New Roman" w:hAnsi="Times New Roman"/>
                <w:kern w:val="0"/>
                <w:szCs w:val="21"/>
              </w:rPr>
            </w:pPr>
          </w:p>
        </w:tc>
        <w:tc>
          <w:tcPr>
            <w:tcW w:w="1417" w:type="dxa"/>
            <w:tcBorders>
              <w:top w:val="nil"/>
              <w:left w:val="nil"/>
              <w:bottom w:val="single" w:color="auto" w:sz="4" w:space="0"/>
              <w:right w:val="single" w:color="auto" w:sz="4" w:space="0"/>
            </w:tcBorders>
            <w:vAlign w:val="center"/>
          </w:tcPr>
          <w:p w14:paraId="3A6800FE">
            <w:pPr>
              <w:widowControl/>
              <w:jc w:val="center"/>
              <w:rPr>
                <w:rFonts w:ascii="Times New Roman" w:hAnsi="Times New Roman"/>
                <w:kern w:val="0"/>
                <w:szCs w:val="21"/>
              </w:rPr>
            </w:pPr>
          </w:p>
        </w:tc>
        <w:tc>
          <w:tcPr>
            <w:tcW w:w="1701" w:type="dxa"/>
            <w:tcBorders>
              <w:top w:val="nil"/>
              <w:left w:val="nil"/>
              <w:bottom w:val="single" w:color="auto" w:sz="4" w:space="0"/>
              <w:right w:val="single" w:color="auto" w:sz="4" w:space="0"/>
            </w:tcBorders>
            <w:vAlign w:val="center"/>
          </w:tcPr>
          <w:p w14:paraId="467DDEBB">
            <w:pPr>
              <w:widowControl/>
              <w:jc w:val="center"/>
              <w:rPr>
                <w:rFonts w:ascii="Times New Roman" w:hAnsi="Times New Roman"/>
                <w:kern w:val="0"/>
                <w:szCs w:val="21"/>
              </w:rPr>
            </w:pPr>
          </w:p>
        </w:tc>
        <w:tc>
          <w:tcPr>
            <w:tcW w:w="1276" w:type="dxa"/>
            <w:tcBorders>
              <w:top w:val="nil"/>
              <w:left w:val="nil"/>
              <w:bottom w:val="single" w:color="auto" w:sz="4" w:space="0"/>
              <w:right w:val="single" w:color="auto" w:sz="4" w:space="0"/>
            </w:tcBorders>
          </w:tcPr>
          <w:p w14:paraId="28D373E4">
            <w:pPr>
              <w:widowControl/>
              <w:jc w:val="center"/>
              <w:rPr>
                <w:rFonts w:ascii="Times New Roman" w:hAnsi="Times New Roman"/>
                <w:kern w:val="0"/>
                <w:szCs w:val="21"/>
              </w:rPr>
            </w:pPr>
          </w:p>
        </w:tc>
      </w:tr>
      <w:tr w14:paraId="7138B20D">
        <w:tblPrEx>
          <w:tblCellMar>
            <w:top w:w="0" w:type="dxa"/>
            <w:left w:w="108" w:type="dxa"/>
            <w:bottom w:w="0" w:type="dxa"/>
            <w:right w:w="108" w:type="dxa"/>
          </w:tblCellMar>
        </w:tblPrEx>
        <w:trPr>
          <w:trHeight w:val="405" w:hRule="atLeast"/>
        </w:trPr>
        <w:tc>
          <w:tcPr>
            <w:tcW w:w="709" w:type="dxa"/>
            <w:tcBorders>
              <w:top w:val="nil"/>
              <w:left w:val="single" w:color="auto" w:sz="4" w:space="0"/>
              <w:bottom w:val="single" w:color="auto" w:sz="4" w:space="0"/>
              <w:right w:val="single" w:color="auto" w:sz="4" w:space="0"/>
            </w:tcBorders>
            <w:vAlign w:val="center"/>
          </w:tcPr>
          <w:p w14:paraId="507E840F">
            <w:pPr>
              <w:widowControl/>
              <w:jc w:val="center"/>
              <w:rPr>
                <w:rFonts w:ascii="Times New Roman" w:hAnsi="Times New Roman"/>
                <w:kern w:val="0"/>
                <w:szCs w:val="21"/>
              </w:rPr>
            </w:pPr>
            <w:r>
              <w:rPr>
                <w:rFonts w:ascii="Times New Roman" w:hAnsi="Times New Roman"/>
                <w:kern w:val="0"/>
                <w:szCs w:val="21"/>
              </w:rPr>
              <w:t>3</w:t>
            </w:r>
          </w:p>
        </w:tc>
        <w:tc>
          <w:tcPr>
            <w:tcW w:w="1559" w:type="dxa"/>
            <w:tcBorders>
              <w:top w:val="nil"/>
              <w:left w:val="nil"/>
              <w:bottom w:val="single" w:color="auto" w:sz="4" w:space="0"/>
              <w:right w:val="single" w:color="auto" w:sz="4" w:space="0"/>
            </w:tcBorders>
            <w:vAlign w:val="center"/>
          </w:tcPr>
          <w:p w14:paraId="55DD93BE">
            <w:pPr>
              <w:widowControl/>
              <w:jc w:val="center"/>
              <w:rPr>
                <w:rFonts w:ascii="Times New Roman" w:hAnsi="Times New Roman"/>
                <w:kern w:val="0"/>
                <w:szCs w:val="21"/>
              </w:rPr>
            </w:pPr>
          </w:p>
        </w:tc>
        <w:tc>
          <w:tcPr>
            <w:tcW w:w="993" w:type="dxa"/>
            <w:tcBorders>
              <w:top w:val="single" w:color="auto" w:sz="4" w:space="0"/>
              <w:left w:val="nil"/>
              <w:bottom w:val="single" w:color="auto" w:sz="4" w:space="0"/>
              <w:right w:val="single" w:color="auto" w:sz="4" w:space="0"/>
            </w:tcBorders>
            <w:vAlign w:val="center"/>
          </w:tcPr>
          <w:p w14:paraId="5C196B0B">
            <w:pPr>
              <w:jc w:val="center"/>
              <w:rPr>
                <w:rFonts w:ascii="Times New Roman" w:hAnsi="Times New Roman"/>
                <w:kern w:val="0"/>
                <w:szCs w:val="21"/>
              </w:rPr>
            </w:pPr>
          </w:p>
        </w:tc>
        <w:tc>
          <w:tcPr>
            <w:tcW w:w="1134" w:type="dxa"/>
            <w:tcBorders>
              <w:top w:val="single" w:color="auto" w:sz="4" w:space="0"/>
              <w:left w:val="nil"/>
              <w:bottom w:val="single" w:color="auto" w:sz="4" w:space="0"/>
              <w:right w:val="single" w:color="auto" w:sz="4" w:space="0"/>
            </w:tcBorders>
            <w:vAlign w:val="center"/>
          </w:tcPr>
          <w:p w14:paraId="2A3CCA47">
            <w:pPr>
              <w:jc w:val="center"/>
              <w:rPr>
                <w:rFonts w:ascii="Times New Roman" w:hAnsi="Times New Roman"/>
                <w:kern w:val="0"/>
                <w:szCs w:val="21"/>
              </w:rPr>
            </w:pPr>
          </w:p>
        </w:tc>
        <w:tc>
          <w:tcPr>
            <w:tcW w:w="1417" w:type="dxa"/>
            <w:tcBorders>
              <w:top w:val="nil"/>
              <w:left w:val="nil"/>
              <w:bottom w:val="single" w:color="auto" w:sz="4" w:space="0"/>
              <w:right w:val="single" w:color="auto" w:sz="4" w:space="0"/>
            </w:tcBorders>
            <w:vAlign w:val="center"/>
          </w:tcPr>
          <w:p w14:paraId="4FBC09AE">
            <w:pPr>
              <w:widowControl/>
              <w:jc w:val="center"/>
              <w:rPr>
                <w:rFonts w:ascii="Times New Roman" w:hAnsi="Times New Roman"/>
                <w:kern w:val="0"/>
                <w:szCs w:val="21"/>
              </w:rPr>
            </w:pPr>
          </w:p>
        </w:tc>
        <w:tc>
          <w:tcPr>
            <w:tcW w:w="1701" w:type="dxa"/>
            <w:tcBorders>
              <w:top w:val="nil"/>
              <w:left w:val="nil"/>
              <w:bottom w:val="single" w:color="auto" w:sz="4" w:space="0"/>
              <w:right w:val="single" w:color="auto" w:sz="4" w:space="0"/>
            </w:tcBorders>
            <w:vAlign w:val="center"/>
          </w:tcPr>
          <w:p w14:paraId="1DF80E82">
            <w:pPr>
              <w:widowControl/>
              <w:jc w:val="center"/>
              <w:rPr>
                <w:rFonts w:ascii="Times New Roman" w:hAnsi="Times New Roman"/>
                <w:kern w:val="0"/>
                <w:szCs w:val="21"/>
              </w:rPr>
            </w:pPr>
          </w:p>
        </w:tc>
        <w:tc>
          <w:tcPr>
            <w:tcW w:w="1276" w:type="dxa"/>
            <w:tcBorders>
              <w:top w:val="nil"/>
              <w:left w:val="nil"/>
              <w:bottom w:val="single" w:color="auto" w:sz="4" w:space="0"/>
              <w:right w:val="single" w:color="auto" w:sz="4" w:space="0"/>
            </w:tcBorders>
          </w:tcPr>
          <w:p w14:paraId="4A49F79A">
            <w:pPr>
              <w:widowControl/>
              <w:jc w:val="center"/>
              <w:rPr>
                <w:rFonts w:ascii="Times New Roman" w:hAnsi="Times New Roman"/>
                <w:kern w:val="0"/>
                <w:szCs w:val="21"/>
              </w:rPr>
            </w:pPr>
          </w:p>
        </w:tc>
      </w:tr>
      <w:tr w14:paraId="317E1B3F">
        <w:tblPrEx>
          <w:tblCellMar>
            <w:top w:w="0" w:type="dxa"/>
            <w:left w:w="108" w:type="dxa"/>
            <w:bottom w:w="0" w:type="dxa"/>
            <w:right w:w="108" w:type="dxa"/>
          </w:tblCellMar>
        </w:tblPrEx>
        <w:trPr>
          <w:trHeight w:val="405" w:hRule="atLeast"/>
        </w:trPr>
        <w:tc>
          <w:tcPr>
            <w:tcW w:w="709" w:type="dxa"/>
            <w:tcBorders>
              <w:top w:val="nil"/>
              <w:left w:val="single" w:color="auto" w:sz="4" w:space="0"/>
              <w:bottom w:val="single" w:color="auto" w:sz="4" w:space="0"/>
              <w:right w:val="single" w:color="auto" w:sz="4" w:space="0"/>
            </w:tcBorders>
            <w:vAlign w:val="center"/>
          </w:tcPr>
          <w:p w14:paraId="03A59CBE">
            <w:pPr>
              <w:widowControl/>
              <w:jc w:val="center"/>
              <w:rPr>
                <w:rFonts w:ascii="Times New Roman" w:hAnsi="Times New Roman"/>
                <w:kern w:val="0"/>
                <w:szCs w:val="21"/>
              </w:rPr>
            </w:pPr>
            <w:r>
              <w:rPr>
                <w:rFonts w:ascii="Times New Roman" w:hAnsi="Times New Roman"/>
                <w:kern w:val="0"/>
                <w:szCs w:val="21"/>
              </w:rPr>
              <w:t>4</w:t>
            </w:r>
          </w:p>
        </w:tc>
        <w:tc>
          <w:tcPr>
            <w:tcW w:w="1559" w:type="dxa"/>
            <w:tcBorders>
              <w:top w:val="nil"/>
              <w:left w:val="nil"/>
              <w:bottom w:val="single" w:color="auto" w:sz="4" w:space="0"/>
              <w:right w:val="single" w:color="auto" w:sz="4" w:space="0"/>
            </w:tcBorders>
            <w:vAlign w:val="center"/>
          </w:tcPr>
          <w:p w14:paraId="73D733F3">
            <w:pPr>
              <w:widowControl/>
              <w:jc w:val="center"/>
              <w:rPr>
                <w:rFonts w:ascii="Times New Roman" w:hAnsi="Times New Roman"/>
                <w:kern w:val="0"/>
                <w:szCs w:val="21"/>
              </w:rPr>
            </w:pPr>
          </w:p>
        </w:tc>
        <w:tc>
          <w:tcPr>
            <w:tcW w:w="993" w:type="dxa"/>
            <w:tcBorders>
              <w:top w:val="single" w:color="auto" w:sz="4" w:space="0"/>
              <w:left w:val="nil"/>
              <w:bottom w:val="single" w:color="auto" w:sz="4" w:space="0"/>
              <w:right w:val="single" w:color="auto" w:sz="4" w:space="0"/>
            </w:tcBorders>
            <w:vAlign w:val="center"/>
          </w:tcPr>
          <w:p w14:paraId="45F7FBF4">
            <w:pPr>
              <w:widowControl/>
              <w:jc w:val="center"/>
              <w:rPr>
                <w:rFonts w:ascii="Times New Roman" w:hAnsi="Times New Roman"/>
                <w:kern w:val="0"/>
                <w:szCs w:val="21"/>
              </w:rPr>
            </w:pPr>
          </w:p>
        </w:tc>
        <w:tc>
          <w:tcPr>
            <w:tcW w:w="1134" w:type="dxa"/>
            <w:tcBorders>
              <w:top w:val="single" w:color="auto" w:sz="4" w:space="0"/>
              <w:left w:val="nil"/>
              <w:bottom w:val="single" w:color="auto" w:sz="4" w:space="0"/>
              <w:right w:val="single" w:color="auto" w:sz="4" w:space="0"/>
            </w:tcBorders>
            <w:vAlign w:val="center"/>
          </w:tcPr>
          <w:p w14:paraId="07A83E29">
            <w:pPr>
              <w:widowControl/>
              <w:jc w:val="center"/>
              <w:rPr>
                <w:rFonts w:ascii="Times New Roman" w:hAnsi="Times New Roman"/>
                <w:kern w:val="0"/>
                <w:szCs w:val="21"/>
              </w:rPr>
            </w:pPr>
          </w:p>
        </w:tc>
        <w:tc>
          <w:tcPr>
            <w:tcW w:w="1417" w:type="dxa"/>
            <w:tcBorders>
              <w:top w:val="nil"/>
              <w:left w:val="nil"/>
              <w:bottom w:val="single" w:color="auto" w:sz="4" w:space="0"/>
              <w:right w:val="single" w:color="auto" w:sz="4" w:space="0"/>
            </w:tcBorders>
            <w:vAlign w:val="center"/>
          </w:tcPr>
          <w:p w14:paraId="63C8475E">
            <w:pPr>
              <w:widowControl/>
              <w:jc w:val="center"/>
              <w:rPr>
                <w:rFonts w:ascii="Times New Roman" w:hAnsi="Times New Roman"/>
                <w:kern w:val="0"/>
                <w:szCs w:val="21"/>
              </w:rPr>
            </w:pPr>
          </w:p>
        </w:tc>
        <w:tc>
          <w:tcPr>
            <w:tcW w:w="1701" w:type="dxa"/>
            <w:tcBorders>
              <w:top w:val="nil"/>
              <w:left w:val="nil"/>
              <w:bottom w:val="single" w:color="auto" w:sz="4" w:space="0"/>
              <w:right w:val="single" w:color="auto" w:sz="4" w:space="0"/>
            </w:tcBorders>
            <w:vAlign w:val="center"/>
          </w:tcPr>
          <w:p w14:paraId="4EF0EF0C">
            <w:pPr>
              <w:widowControl/>
              <w:jc w:val="center"/>
              <w:rPr>
                <w:rFonts w:ascii="Times New Roman" w:hAnsi="Times New Roman"/>
                <w:kern w:val="0"/>
                <w:szCs w:val="21"/>
              </w:rPr>
            </w:pPr>
          </w:p>
        </w:tc>
        <w:tc>
          <w:tcPr>
            <w:tcW w:w="1276" w:type="dxa"/>
            <w:tcBorders>
              <w:top w:val="nil"/>
              <w:left w:val="nil"/>
              <w:bottom w:val="single" w:color="auto" w:sz="4" w:space="0"/>
              <w:right w:val="single" w:color="auto" w:sz="4" w:space="0"/>
            </w:tcBorders>
          </w:tcPr>
          <w:p w14:paraId="460A8683">
            <w:pPr>
              <w:widowControl/>
              <w:jc w:val="center"/>
              <w:rPr>
                <w:rFonts w:ascii="Times New Roman" w:hAnsi="Times New Roman"/>
                <w:kern w:val="0"/>
                <w:szCs w:val="21"/>
              </w:rPr>
            </w:pPr>
          </w:p>
        </w:tc>
      </w:tr>
      <w:tr w14:paraId="16007C70">
        <w:tblPrEx>
          <w:tblCellMar>
            <w:top w:w="0" w:type="dxa"/>
            <w:left w:w="108" w:type="dxa"/>
            <w:bottom w:w="0" w:type="dxa"/>
            <w:right w:w="108" w:type="dxa"/>
          </w:tblCellMar>
        </w:tblPrEx>
        <w:trPr>
          <w:trHeight w:val="405" w:hRule="atLeast"/>
        </w:trPr>
        <w:tc>
          <w:tcPr>
            <w:tcW w:w="709" w:type="dxa"/>
            <w:tcBorders>
              <w:top w:val="nil"/>
              <w:left w:val="single" w:color="auto" w:sz="4" w:space="0"/>
              <w:bottom w:val="single" w:color="auto" w:sz="4" w:space="0"/>
              <w:right w:val="single" w:color="auto" w:sz="4" w:space="0"/>
            </w:tcBorders>
            <w:vAlign w:val="center"/>
          </w:tcPr>
          <w:p w14:paraId="565FC85D">
            <w:pPr>
              <w:widowControl/>
              <w:jc w:val="center"/>
              <w:rPr>
                <w:rFonts w:ascii="Times New Roman" w:hAnsi="Times New Roman"/>
                <w:kern w:val="0"/>
                <w:szCs w:val="21"/>
              </w:rPr>
            </w:pPr>
            <w:r>
              <w:rPr>
                <w:rFonts w:ascii="Times New Roman" w:hAnsi="Times New Roman"/>
                <w:kern w:val="0"/>
                <w:szCs w:val="21"/>
              </w:rPr>
              <w:t>5</w:t>
            </w:r>
          </w:p>
        </w:tc>
        <w:tc>
          <w:tcPr>
            <w:tcW w:w="1559" w:type="dxa"/>
            <w:tcBorders>
              <w:top w:val="nil"/>
              <w:left w:val="nil"/>
              <w:bottom w:val="single" w:color="auto" w:sz="4" w:space="0"/>
              <w:right w:val="single" w:color="auto" w:sz="4" w:space="0"/>
            </w:tcBorders>
            <w:vAlign w:val="center"/>
          </w:tcPr>
          <w:p w14:paraId="1E912B24">
            <w:pPr>
              <w:widowControl/>
              <w:jc w:val="center"/>
              <w:rPr>
                <w:rFonts w:ascii="Times New Roman" w:hAnsi="Times New Roman"/>
                <w:kern w:val="0"/>
                <w:szCs w:val="21"/>
              </w:rPr>
            </w:pPr>
          </w:p>
        </w:tc>
        <w:tc>
          <w:tcPr>
            <w:tcW w:w="993" w:type="dxa"/>
            <w:tcBorders>
              <w:top w:val="single" w:color="auto" w:sz="4" w:space="0"/>
              <w:left w:val="nil"/>
              <w:bottom w:val="single" w:color="auto" w:sz="4" w:space="0"/>
              <w:right w:val="single" w:color="auto" w:sz="4" w:space="0"/>
            </w:tcBorders>
            <w:vAlign w:val="center"/>
          </w:tcPr>
          <w:p w14:paraId="187C0094">
            <w:pPr>
              <w:widowControl/>
              <w:jc w:val="left"/>
              <w:rPr>
                <w:rFonts w:ascii="Times New Roman" w:hAnsi="Times New Roman"/>
                <w:kern w:val="0"/>
                <w:szCs w:val="21"/>
              </w:rPr>
            </w:pPr>
          </w:p>
        </w:tc>
        <w:tc>
          <w:tcPr>
            <w:tcW w:w="1134" w:type="dxa"/>
            <w:tcBorders>
              <w:top w:val="single" w:color="auto" w:sz="4" w:space="0"/>
              <w:left w:val="nil"/>
              <w:bottom w:val="single" w:color="auto" w:sz="4" w:space="0"/>
              <w:right w:val="single" w:color="auto" w:sz="4" w:space="0"/>
            </w:tcBorders>
            <w:vAlign w:val="center"/>
          </w:tcPr>
          <w:p w14:paraId="14D1E7E1">
            <w:pPr>
              <w:widowControl/>
              <w:jc w:val="left"/>
              <w:rPr>
                <w:rFonts w:ascii="Times New Roman" w:hAnsi="Times New Roman"/>
                <w:kern w:val="0"/>
                <w:szCs w:val="21"/>
              </w:rPr>
            </w:pPr>
          </w:p>
        </w:tc>
        <w:tc>
          <w:tcPr>
            <w:tcW w:w="1417" w:type="dxa"/>
            <w:tcBorders>
              <w:top w:val="nil"/>
              <w:left w:val="nil"/>
              <w:bottom w:val="single" w:color="auto" w:sz="4" w:space="0"/>
              <w:right w:val="single" w:color="auto" w:sz="4" w:space="0"/>
            </w:tcBorders>
            <w:vAlign w:val="center"/>
          </w:tcPr>
          <w:p w14:paraId="78469DFB">
            <w:pPr>
              <w:widowControl/>
              <w:jc w:val="left"/>
              <w:rPr>
                <w:rFonts w:ascii="Times New Roman" w:hAnsi="Times New Roman"/>
                <w:kern w:val="0"/>
                <w:szCs w:val="21"/>
              </w:rPr>
            </w:pPr>
          </w:p>
        </w:tc>
        <w:tc>
          <w:tcPr>
            <w:tcW w:w="1701" w:type="dxa"/>
            <w:tcBorders>
              <w:top w:val="nil"/>
              <w:left w:val="nil"/>
              <w:bottom w:val="single" w:color="auto" w:sz="4" w:space="0"/>
              <w:right w:val="single" w:color="auto" w:sz="4" w:space="0"/>
            </w:tcBorders>
            <w:vAlign w:val="center"/>
          </w:tcPr>
          <w:p w14:paraId="5A59309B">
            <w:pPr>
              <w:widowControl/>
              <w:jc w:val="left"/>
              <w:rPr>
                <w:rFonts w:ascii="Times New Roman" w:hAnsi="Times New Roman"/>
                <w:kern w:val="0"/>
                <w:szCs w:val="21"/>
              </w:rPr>
            </w:pPr>
          </w:p>
        </w:tc>
        <w:tc>
          <w:tcPr>
            <w:tcW w:w="1276" w:type="dxa"/>
            <w:tcBorders>
              <w:top w:val="nil"/>
              <w:left w:val="nil"/>
              <w:bottom w:val="single" w:color="auto" w:sz="4" w:space="0"/>
              <w:right w:val="single" w:color="auto" w:sz="4" w:space="0"/>
            </w:tcBorders>
          </w:tcPr>
          <w:p w14:paraId="77DDE0D0">
            <w:pPr>
              <w:widowControl/>
              <w:jc w:val="left"/>
              <w:rPr>
                <w:rFonts w:ascii="Times New Roman" w:hAnsi="Times New Roman"/>
                <w:kern w:val="0"/>
                <w:szCs w:val="21"/>
              </w:rPr>
            </w:pPr>
          </w:p>
        </w:tc>
      </w:tr>
      <w:tr w14:paraId="5D3A265A">
        <w:tblPrEx>
          <w:tblCellMar>
            <w:top w:w="0" w:type="dxa"/>
            <w:left w:w="108" w:type="dxa"/>
            <w:bottom w:w="0" w:type="dxa"/>
            <w:right w:w="108" w:type="dxa"/>
          </w:tblCellMar>
        </w:tblPrEx>
        <w:trPr>
          <w:trHeight w:val="405" w:hRule="atLeast"/>
        </w:trPr>
        <w:tc>
          <w:tcPr>
            <w:tcW w:w="709" w:type="dxa"/>
            <w:tcBorders>
              <w:top w:val="nil"/>
              <w:left w:val="single" w:color="auto" w:sz="4" w:space="0"/>
              <w:bottom w:val="single" w:color="auto" w:sz="4" w:space="0"/>
              <w:right w:val="single" w:color="auto" w:sz="4" w:space="0"/>
            </w:tcBorders>
            <w:vAlign w:val="center"/>
          </w:tcPr>
          <w:p w14:paraId="64EFEE63">
            <w:pPr>
              <w:widowControl/>
              <w:jc w:val="center"/>
              <w:rPr>
                <w:rFonts w:ascii="Times New Roman" w:hAnsi="Times New Roman"/>
                <w:kern w:val="0"/>
                <w:szCs w:val="21"/>
              </w:rPr>
            </w:pPr>
            <w:r>
              <w:rPr>
                <w:rFonts w:ascii="Times New Roman" w:hAnsi="Times New Roman"/>
                <w:kern w:val="0"/>
                <w:szCs w:val="21"/>
              </w:rPr>
              <w:t>……</w:t>
            </w:r>
          </w:p>
        </w:tc>
        <w:tc>
          <w:tcPr>
            <w:tcW w:w="1559" w:type="dxa"/>
            <w:tcBorders>
              <w:top w:val="nil"/>
              <w:left w:val="nil"/>
              <w:bottom w:val="single" w:color="auto" w:sz="4" w:space="0"/>
              <w:right w:val="single" w:color="auto" w:sz="4" w:space="0"/>
            </w:tcBorders>
            <w:vAlign w:val="center"/>
          </w:tcPr>
          <w:p w14:paraId="4ED3DB61">
            <w:pPr>
              <w:widowControl/>
              <w:jc w:val="center"/>
              <w:rPr>
                <w:rFonts w:ascii="Times New Roman" w:hAnsi="Times New Roman"/>
                <w:kern w:val="0"/>
                <w:szCs w:val="21"/>
              </w:rPr>
            </w:pPr>
            <w:r>
              <w:rPr>
                <w:rFonts w:ascii="Times New Roman" w:hAnsi="Times New Roman"/>
                <w:kern w:val="0"/>
                <w:szCs w:val="21"/>
              </w:rPr>
              <w:t>……</w:t>
            </w:r>
          </w:p>
        </w:tc>
        <w:tc>
          <w:tcPr>
            <w:tcW w:w="993" w:type="dxa"/>
            <w:tcBorders>
              <w:top w:val="single" w:color="auto" w:sz="4" w:space="0"/>
              <w:left w:val="nil"/>
              <w:bottom w:val="single" w:color="auto" w:sz="4" w:space="0"/>
              <w:right w:val="single" w:color="auto" w:sz="4" w:space="0"/>
            </w:tcBorders>
            <w:vAlign w:val="center"/>
          </w:tcPr>
          <w:p w14:paraId="19CA6726">
            <w:pPr>
              <w:widowControl/>
              <w:jc w:val="left"/>
              <w:rPr>
                <w:rFonts w:ascii="Times New Roman" w:hAnsi="Times New Roman"/>
                <w:kern w:val="0"/>
                <w:szCs w:val="21"/>
              </w:rPr>
            </w:pPr>
          </w:p>
        </w:tc>
        <w:tc>
          <w:tcPr>
            <w:tcW w:w="1134" w:type="dxa"/>
            <w:tcBorders>
              <w:top w:val="single" w:color="auto" w:sz="4" w:space="0"/>
              <w:left w:val="nil"/>
              <w:bottom w:val="single" w:color="auto" w:sz="4" w:space="0"/>
              <w:right w:val="single" w:color="auto" w:sz="4" w:space="0"/>
            </w:tcBorders>
            <w:vAlign w:val="center"/>
          </w:tcPr>
          <w:p w14:paraId="36966796">
            <w:pPr>
              <w:widowControl/>
              <w:jc w:val="left"/>
              <w:rPr>
                <w:rFonts w:ascii="Times New Roman" w:hAnsi="Times New Roman"/>
                <w:kern w:val="0"/>
                <w:szCs w:val="21"/>
              </w:rPr>
            </w:pPr>
          </w:p>
        </w:tc>
        <w:tc>
          <w:tcPr>
            <w:tcW w:w="1417" w:type="dxa"/>
            <w:tcBorders>
              <w:top w:val="nil"/>
              <w:left w:val="nil"/>
              <w:bottom w:val="single" w:color="auto" w:sz="4" w:space="0"/>
              <w:right w:val="single" w:color="auto" w:sz="4" w:space="0"/>
            </w:tcBorders>
            <w:vAlign w:val="center"/>
          </w:tcPr>
          <w:p w14:paraId="57554B96">
            <w:pPr>
              <w:widowControl/>
              <w:jc w:val="left"/>
              <w:rPr>
                <w:rFonts w:ascii="Times New Roman" w:hAnsi="Times New Roman"/>
                <w:kern w:val="0"/>
                <w:szCs w:val="21"/>
              </w:rPr>
            </w:pPr>
          </w:p>
        </w:tc>
        <w:tc>
          <w:tcPr>
            <w:tcW w:w="1701" w:type="dxa"/>
            <w:tcBorders>
              <w:top w:val="nil"/>
              <w:left w:val="nil"/>
              <w:bottom w:val="single" w:color="auto" w:sz="4" w:space="0"/>
              <w:right w:val="single" w:color="auto" w:sz="4" w:space="0"/>
            </w:tcBorders>
            <w:vAlign w:val="center"/>
          </w:tcPr>
          <w:p w14:paraId="09AC7E33">
            <w:pPr>
              <w:widowControl/>
              <w:jc w:val="left"/>
              <w:rPr>
                <w:rFonts w:ascii="Times New Roman" w:hAnsi="Times New Roman"/>
                <w:kern w:val="0"/>
                <w:szCs w:val="21"/>
              </w:rPr>
            </w:pPr>
          </w:p>
        </w:tc>
        <w:tc>
          <w:tcPr>
            <w:tcW w:w="1276" w:type="dxa"/>
            <w:tcBorders>
              <w:top w:val="nil"/>
              <w:left w:val="nil"/>
              <w:bottom w:val="single" w:color="auto" w:sz="4" w:space="0"/>
              <w:right w:val="single" w:color="auto" w:sz="4" w:space="0"/>
            </w:tcBorders>
          </w:tcPr>
          <w:p w14:paraId="67B477E9">
            <w:pPr>
              <w:widowControl/>
              <w:jc w:val="left"/>
              <w:rPr>
                <w:rFonts w:ascii="Times New Roman" w:hAnsi="Times New Roman"/>
                <w:kern w:val="0"/>
                <w:szCs w:val="21"/>
              </w:rPr>
            </w:pPr>
          </w:p>
        </w:tc>
      </w:tr>
      <w:tr w14:paraId="51CB85C1">
        <w:tblPrEx>
          <w:tblCellMar>
            <w:top w:w="0" w:type="dxa"/>
            <w:left w:w="108" w:type="dxa"/>
            <w:bottom w:w="0" w:type="dxa"/>
            <w:right w:w="108" w:type="dxa"/>
          </w:tblCellMar>
        </w:tblPrEx>
        <w:trPr>
          <w:trHeight w:val="405" w:hRule="atLeast"/>
        </w:trPr>
        <w:tc>
          <w:tcPr>
            <w:tcW w:w="5812" w:type="dxa"/>
            <w:gridSpan w:val="5"/>
            <w:tcBorders>
              <w:top w:val="single" w:color="auto" w:sz="4" w:space="0"/>
              <w:left w:val="single" w:color="auto" w:sz="4" w:space="0"/>
              <w:bottom w:val="single" w:color="auto" w:sz="4" w:space="0"/>
              <w:right w:val="single" w:color="auto" w:sz="4" w:space="0"/>
            </w:tcBorders>
            <w:vAlign w:val="center"/>
          </w:tcPr>
          <w:p w14:paraId="01B1AE76">
            <w:pPr>
              <w:widowControl/>
              <w:jc w:val="center"/>
              <w:rPr>
                <w:rFonts w:ascii="Times New Roman" w:hAnsi="Times New Roman"/>
                <w:kern w:val="0"/>
                <w:szCs w:val="21"/>
              </w:rPr>
            </w:pPr>
            <w:r>
              <w:rPr>
                <w:rFonts w:hint="eastAsia" w:ascii="Times New Roman" w:hAnsi="Times New Roman"/>
                <w:b/>
                <w:kern w:val="0"/>
                <w:szCs w:val="21"/>
              </w:rPr>
              <w:t>合计报价</w:t>
            </w:r>
          </w:p>
        </w:tc>
        <w:tc>
          <w:tcPr>
            <w:tcW w:w="1701" w:type="dxa"/>
            <w:tcBorders>
              <w:top w:val="single" w:color="auto" w:sz="4" w:space="0"/>
              <w:left w:val="nil"/>
              <w:bottom w:val="single" w:color="auto" w:sz="4" w:space="0"/>
              <w:right w:val="single" w:color="auto" w:sz="4" w:space="0"/>
            </w:tcBorders>
            <w:vAlign w:val="center"/>
          </w:tcPr>
          <w:p w14:paraId="634B70A0">
            <w:pPr>
              <w:widowControl/>
              <w:jc w:val="left"/>
              <w:rPr>
                <w:rFonts w:ascii="Times New Roman" w:hAnsi="Times New Roman"/>
                <w:kern w:val="0"/>
                <w:szCs w:val="21"/>
              </w:rPr>
            </w:pPr>
          </w:p>
        </w:tc>
        <w:tc>
          <w:tcPr>
            <w:tcW w:w="1276" w:type="dxa"/>
            <w:tcBorders>
              <w:top w:val="single" w:color="auto" w:sz="4" w:space="0"/>
              <w:left w:val="nil"/>
              <w:bottom w:val="single" w:color="auto" w:sz="4" w:space="0"/>
              <w:right w:val="single" w:color="auto" w:sz="4" w:space="0"/>
            </w:tcBorders>
          </w:tcPr>
          <w:p w14:paraId="1483F584">
            <w:pPr>
              <w:widowControl/>
              <w:jc w:val="left"/>
              <w:rPr>
                <w:rFonts w:ascii="Times New Roman" w:hAnsi="Times New Roman"/>
                <w:kern w:val="0"/>
                <w:szCs w:val="21"/>
              </w:rPr>
            </w:pPr>
          </w:p>
        </w:tc>
      </w:tr>
    </w:tbl>
    <w:p w14:paraId="32AEB387">
      <w:pPr>
        <w:widowControl/>
        <w:ind w:right="105"/>
        <w:jc w:val="right"/>
        <w:rPr>
          <w:rFonts w:ascii="Times New Roman" w:hAnsi="Times New Roman"/>
          <w:kern w:val="0"/>
        </w:rPr>
      </w:pPr>
    </w:p>
    <w:p w14:paraId="4701BC5D">
      <w:pPr>
        <w:spacing w:line="400" w:lineRule="exact"/>
        <w:ind w:firstLine="420" w:firstLineChars="200"/>
        <w:rPr>
          <w:rFonts w:ascii="Times New Roman" w:hAnsi="Times New Roman"/>
        </w:rPr>
      </w:pPr>
    </w:p>
    <w:p w14:paraId="02316593">
      <w:pPr>
        <w:widowControl/>
        <w:ind w:right="105"/>
        <w:jc w:val="left"/>
        <w:rPr>
          <w:rFonts w:ascii="Times New Roman" w:hAnsi="Times New Roman"/>
          <w:kern w:val="0"/>
        </w:rPr>
      </w:pPr>
    </w:p>
    <w:p w14:paraId="68E2A9BB">
      <w:pPr>
        <w:pStyle w:val="3"/>
        <w:spacing w:after="0"/>
        <w:jc w:val="center"/>
        <w:rPr>
          <w:rFonts w:ascii="Times New Roman" w:hAnsi="Times New Roman"/>
          <w:color w:val="000000"/>
        </w:rPr>
      </w:pPr>
      <w:r>
        <w:rPr>
          <w:rFonts w:ascii="Times New Roman" w:hAnsi="Times New Roman"/>
          <w:color w:val="000000"/>
        </w:rPr>
        <w:br w:type="page"/>
      </w:r>
      <w:bookmarkStart w:id="462" w:name="_Toc22713"/>
      <w:r>
        <w:rPr>
          <w:rFonts w:ascii="Times New Roman" w:hAnsi="Times New Roman"/>
          <w:color w:val="000000"/>
        </w:rPr>
        <w:t>七、资格审查资料</w:t>
      </w:r>
      <w:bookmarkEnd w:id="462"/>
    </w:p>
    <w:p w14:paraId="0CE5B7C0">
      <w:pPr>
        <w:keepNext w:val="0"/>
        <w:keepLines w:val="0"/>
        <w:pageBreakBefore w:val="0"/>
        <w:widowControl w:val="0"/>
        <w:kinsoku/>
        <w:wordWrap/>
        <w:overflowPunct/>
        <w:topLinePunct w:val="0"/>
        <w:autoSpaceDE/>
        <w:autoSpaceDN/>
        <w:bidi w:val="0"/>
        <w:adjustRightInd/>
        <w:snapToGrid/>
        <w:spacing w:before="120" w:beforeLines="50" w:after="240" w:afterLines="100" w:line="440" w:lineRule="exact"/>
        <w:jc w:val="center"/>
        <w:textAlignment w:val="auto"/>
        <w:outlineLvl w:val="1"/>
        <w:rPr>
          <w:rFonts w:hint="eastAsia" w:ascii="黑体" w:hAnsi="宋体" w:eastAsia="黑体"/>
          <w:sz w:val="24"/>
        </w:rPr>
      </w:pPr>
      <w:bookmarkStart w:id="463" w:name="_Toc13874"/>
      <w:bookmarkStart w:id="464" w:name="_Toc3231"/>
      <w:bookmarkStart w:id="465" w:name="_Toc214"/>
      <w:r>
        <w:rPr>
          <w:rFonts w:hint="eastAsia" w:ascii="黑体" w:hAnsi="宋体" w:eastAsia="黑体"/>
          <w:sz w:val="24"/>
        </w:rPr>
        <w:t>（一）投标人基本情况表</w:t>
      </w:r>
      <w:bookmarkEnd w:id="463"/>
      <w:bookmarkEnd w:id="464"/>
      <w:bookmarkEnd w:id="465"/>
    </w:p>
    <w:tbl>
      <w:tblPr>
        <w:tblStyle w:val="26"/>
        <w:tblW w:w="93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2"/>
        <w:gridCol w:w="1050"/>
        <w:gridCol w:w="1237"/>
        <w:gridCol w:w="1188"/>
        <w:gridCol w:w="1337"/>
        <w:gridCol w:w="1225"/>
        <w:gridCol w:w="1613"/>
      </w:tblGrid>
      <w:tr w14:paraId="37090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1CCB50A8">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单位名称</w:t>
            </w:r>
          </w:p>
        </w:tc>
        <w:tc>
          <w:tcPr>
            <w:tcW w:w="7650" w:type="dxa"/>
            <w:gridSpan w:val="6"/>
            <w:tcBorders>
              <w:tl2br w:val="nil"/>
              <w:tr2bl w:val="nil"/>
            </w:tcBorders>
            <w:noWrap w:val="0"/>
            <w:vAlign w:val="center"/>
          </w:tcPr>
          <w:p w14:paraId="3CD6ACA4">
            <w:pPr>
              <w:jc w:val="left"/>
              <w:rPr>
                <w:rFonts w:hint="eastAsia" w:ascii="宋体" w:hAnsi="宋体" w:eastAsia="宋体" w:cs="宋体"/>
                <w:sz w:val="21"/>
                <w:szCs w:val="21"/>
                <w:vertAlign w:val="baseline"/>
                <w:lang w:val="en-US" w:eastAsia="zh-CN"/>
              </w:rPr>
            </w:pPr>
          </w:p>
        </w:tc>
      </w:tr>
      <w:tr w14:paraId="7E66B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4E2DA2D9">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注册地址</w:t>
            </w:r>
          </w:p>
        </w:tc>
        <w:tc>
          <w:tcPr>
            <w:tcW w:w="3475" w:type="dxa"/>
            <w:gridSpan w:val="3"/>
            <w:tcBorders>
              <w:tl2br w:val="nil"/>
              <w:tr2bl w:val="nil"/>
            </w:tcBorders>
            <w:noWrap w:val="0"/>
            <w:vAlign w:val="center"/>
          </w:tcPr>
          <w:p w14:paraId="5C210B7C">
            <w:pPr>
              <w:jc w:val="left"/>
              <w:rPr>
                <w:rFonts w:hint="eastAsia" w:ascii="宋体" w:hAnsi="宋体" w:eastAsia="宋体" w:cs="宋体"/>
                <w:sz w:val="21"/>
                <w:szCs w:val="21"/>
                <w:vertAlign w:val="baseline"/>
                <w:lang w:val="en-US" w:eastAsia="zh-CN"/>
              </w:rPr>
            </w:pPr>
          </w:p>
        </w:tc>
        <w:tc>
          <w:tcPr>
            <w:tcW w:w="1337" w:type="dxa"/>
            <w:tcBorders>
              <w:tl2br w:val="nil"/>
              <w:tr2bl w:val="nil"/>
            </w:tcBorders>
            <w:noWrap w:val="0"/>
            <w:vAlign w:val="center"/>
          </w:tcPr>
          <w:p w14:paraId="73BA69A9">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邮政编码</w:t>
            </w:r>
          </w:p>
        </w:tc>
        <w:tc>
          <w:tcPr>
            <w:tcW w:w="2838" w:type="dxa"/>
            <w:gridSpan w:val="2"/>
            <w:tcBorders>
              <w:tl2br w:val="nil"/>
              <w:tr2bl w:val="nil"/>
            </w:tcBorders>
            <w:noWrap w:val="0"/>
            <w:vAlign w:val="center"/>
          </w:tcPr>
          <w:p w14:paraId="5A9AD2CB">
            <w:pPr>
              <w:jc w:val="center"/>
              <w:rPr>
                <w:rFonts w:hint="eastAsia" w:ascii="宋体" w:hAnsi="宋体" w:eastAsia="宋体" w:cs="宋体"/>
                <w:sz w:val="21"/>
                <w:szCs w:val="21"/>
                <w:vertAlign w:val="baseline"/>
                <w:lang w:val="en-US" w:eastAsia="zh-CN"/>
              </w:rPr>
            </w:pPr>
          </w:p>
        </w:tc>
      </w:tr>
      <w:tr w14:paraId="16729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vMerge w:val="restart"/>
            <w:tcBorders>
              <w:tl2br w:val="nil"/>
              <w:tr2bl w:val="nil"/>
            </w:tcBorders>
            <w:noWrap w:val="0"/>
            <w:vAlign w:val="center"/>
          </w:tcPr>
          <w:p w14:paraId="599C9F6E">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联系方式</w:t>
            </w:r>
          </w:p>
        </w:tc>
        <w:tc>
          <w:tcPr>
            <w:tcW w:w="1050" w:type="dxa"/>
            <w:tcBorders>
              <w:tl2br w:val="nil"/>
              <w:tr2bl w:val="nil"/>
            </w:tcBorders>
            <w:noWrap w:val="0"/>
            <w:vAlign w:val="center"/>
          </w:tcPr>
          <w:p w14:paraId="35D7A332">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联系人</w:t>
            </w:r>
          </w:p>
        </w:tc>
        <w:tc>
          <w:tcPr>
            <w:tcW w:w="2425" w:type="dxa"/>
            <w:gridSpan w:val="2"/>
            <w:tcBorders>
              <w:tl2br w:val="nil"/>
              <w:tr2bl w:val="nil"/>
            </w:tcBorders>
            <w:noWrap w:val="0"/>
            <w:vAlign w:val="center"/>
          </w:tcPr>
          <w:p w14:paraId="7FCF8DAA">
            <w:pPr>
              <w:jc w:val="center"/>
              <w:rPr>
                <w:rFonts w:hint="eastAsia" w:ascii="宋体" w:hAnsi="宋体" w:eastAsia="宋体" w:cs="宋体"/>
                <w:sz w:val="21"/>
                <w:szCs w:val="21"/>
                <w:vertAlign w:val="baseline"/>
                <w:lang w:val="en-US" w:eastAsia="zh-CN"/>
              </w:rPr>
            </w:pPr>
          </w:p>
        </w:tc>
        <w:tc>
          <w:tcPr>
            <w:tcW w:w="1337" w:type="dxa"/>
            <w:tcBorders>
              <w:tl2br w:val="nil"/>
              <w:tr2bl w:val="nil"/>
            </w:tcBorders>
            <w:noWrap w:val="0"/>
            <w:vAlign w:val="center"/>
          </w:tcPr>
          <w:p w14:paraId="299F5B4B">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电    话</w:t>
            </w:r>
          </w:p>
        </w:tc>
        <w:tc>
          <w:tcPr>
            <w:tcW w:w="2838" w:type="dxa"/>
            <w:gridSpan w:val="2"/>
            <w:tcBorders>
              <w:tl2br w:val="nil"/>
              <w:tr2bl w:val="nil"/>
            </w:tcBorders>
            <w:noWrap w:val="0"/>
            <w:vAlign w:val="center"/>
          </w:tcPr>
          <w:p w14:paraId="4628F8EF">
            <w:pPr>
              <w:jc w:val="center"/>
              <w:rPr>
                <w:rFonts w:hint="eastAsia" w:ascii="宋体" w:hAnsi="宋体" w:eastAsia="宋体" w:cs="宋体"/>
                <w:sz w:val="21"/>
                <w:szCs w:val="21"/>
                <w:vertAlign w:val="baseline"/>
                <w:lang w:val="en-US" w:eastAsia="zh-CN"/>
              </w:rPr>
            </w:pPr>
          </w:p>
        </w:tc>
      </w:tr>
      <w:tr w14:paraId="2A6F4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vMerge w:val="continue"/>
            <w:tcBorders>
              <w:tl2br w:val="nil"/>
              <w:tr2bl w:val="nil"/>
            </w:tcBorders>
            <w:noWrap w:val="0"/>
            <w:vAlign w:val="center"/>
          </w:tcPr>
          <w:p w14:paraId="5B17415F">
            <w:pPr>
              <w:jc w:val="center"/>
              <w:rPr>
                <w:rFonts w:hint="eastAsia" w:ascii="宋体" w:hAnsi="宋体" w:eastAsia="宋体" w:cs="宋体"/>
                <w:sz w:val="21"/>
                <w:szCs w:val="21"/>
                <w:vertAlign w:val="baseline"/>
                <w:lang w:val="en-US" w:eastAsia="zh-CN"/>
              </w:rPr>
            </w:pPr>
          </w:p>
        </w:tc>
        <w:tc>
          <w:tcPr>
            <w:tcW w:w="1050" w:type="dxa"/>
            <w:tcBorders>
              <w:tl2br w:val="nil"/>
              <w:tr2bl w:val="nil"/>
            </w:tcBorders>
            <w:noWrap w:val="0"/>
            <w:vAlign w:val="center"/>
          </w:tcPr>
          <w:p w14:paraId="681187AB">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传  真</w:t>
            </w:r>
          </w:p>
        </w:tc>
        <w:tc>
          <w:tcPr>
            <w:tcW w:w="2425" w:type="dxa"/>
            <w:gridSpan w:val="2"/>
            <w:tcBorders>
              <w:tl2br w:val="nil"/>
              <w:tr2bl w:val="nil"/>
            </w:tcBorders>
            <w:noWrap w:val="0"/>
            <w:vAlign w:val="center"/>
          </w:tcPr>
          <w:p w14:paraId="262840E8">
            <w:pPr>
              <w:jc w:val="center"/>
              <w:rPr>
                <w:rFonts w:hint="eastAsia" w:ascii="宋体" w:hAnsi="宋体" w:eastAsia="宋体" w:cs="宋体"/>
                <w:sz w:val="21"/>
                <w:szCs w:val="21"/>
                <w:vertAlign w:val="baseline"/>
                <w:lang w:val="en-US" w:eastAsia="zh-CN"/>
              </w:rPr>
            </w:pPr>
          </w:p>
        </w:tc>
        <w:tc>
          <w:tcPr>
            <w:tcW w:w="1337" w:type="dxa"/>
            <w:tcBorders>
              <w:tl2br w:val="nil"/>
              <w:tr2bl w:val="nil"/>
            </w:tcBorders>
            <w:noWrap w:val="0"/>
            <w:vAlign w:val="center"/>
          </w:tcPr>
          <w:p w14:paraId="13F3D30C">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网    址</w:t>
            </w:r>
          </w:p>
        </w:tc>
        <w:tc>
          <w:tcPr>
            <w:tcW w:w="2838" w:type="dxa"/>
            <w:gridSpan w:val="2"/>
            <w:tcBorders>
              <w:tl2br w:val="nil"/>
              <w:tr2bl w:val="nil"/>
            </w:tcBorders>
            <w:noWrap w:val="0"/>
            <w:vAlign w:val="center"/>
          </w:tcPr>
          <w:p w14:paraId="3CFEB8FD">
            <w:pPr>
              <w:jc w:val="center"/>
              <w:rPr>
                <w:rFonts w:hint="eastAsia" w:ascii="宋体" w:hAnsi="宋体" w:eastAsia="宋体" w:cs="宋体"/>
                <w:sz w:val="21"/>
                <w:szCs w:val="21"/>
                <w:vertAlign w:val="baseline"/>
                <w:lang w:val="en-US" w:eastAsia="zh-CN"/>
              </w:rPr>
            </w:pPr>
          </w:p>
        </w:tc>
      </w:tr>
      <w:tr w14:paraId="1EFF8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1AB829BC">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法定代表人</w:t>
            </w:r>
          </w:p>
        </w:tc>
        <w:tc>
          <w:tcPr>
            <w:tcW w:w="1050" w:type="dxa"/>
            <w:tcBorders>
              <w:tl2br w:val="nil"/>
              <w:tr2bl w:val="nil"/>
            </w:tcBorders>
            <w:noWrap w:val="0"/>
            <w:vAlign w:val="center"/>
          </w:tcPr>
          <w:p w14:paraId="1920CE90">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姓名</w:t>
            </w:r>
          </w:p>
        </w:tc>
        <w:tc>
          <w:tcPr>
            <w:tcW w:w="1237" w:type="dxa"/>
            <w:tcBorders>
              <w:tl2br w:val="nil"/>
              <w:tr2bl w:val="nil"/>
            </w:tcBorders>
            <w:noWrap w:val="0"/>
            <w:vAlign w:val="center"/>
          </w:tcPr>
          <w:p w14:paraId="2AC74BB0">
            <w:pPr>
              <w:jc w:val="center"/>
              <w:rPr>
                <w:rFonts w:hint="eastAsia" w:ascii="宋体" w:hAnsi="宋体" w:eastAsia="宋体" w:cs="宋体"/>
                <w:sz w:val="21"/>
                <w:szCs w:val="21"/>
                <w:vertAlign w:val="baseline"/>
                <w:lang w:val="en-US" w:eastAsia="zh-CN"/>
              </w:rPr>
            </w:pPr>
          </w:p>
        </w:tc>
        <w:tc>
          <w:tcPr>
            <w:tcW w:w="1188" w:type="dxa"/>
            <w:tcBorders>
              <w:tl2br w:val="nil"/>
              <w:tr2bl w:val="nil"/>
            </w:tcBorders>
            <w:noWrap w:val="0"/>
            <w:vAlign w:val="center"/>
          </w:tcPr>
          <w:p w14:paraId="62DA0D6C">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技术职称</w:t>
            </w:r>
          </w:p>
        </w:tc>
        <w:tc>
          <w:tcPr>
            <w:tcW w:w="1337" w:type="dxa"/>
            <w:tcBorders>
              <w:tl2br w:val="nil"/>
              <w:tr2bl w:val="nil"/>
            </w:tcBorders>
            <w:noWrap w:val="0"/>
            <w:vAlign w:val="center"/>
          </w:tcPr>
          <w:p w14:paraId="2FCCDA21">
            <w:pPr>
              <w:jc w:val="center"/>
              <w:rPr>
                <w:rFonts w:hint="eastAsia" w:ascii="宋体" w:hAnsi="宋体" w:eastAsia="宋体" w:cs="宋体"/>
                <w:sz w:val="21"/>
                <w:szCs w:val="21"/>
                <w:vertAlign w:val="baseline"/>
                <w:lang w:val="en-US" w:eastAsia="zh-CN"/>
              </w:rPr>
            </w:pPr>
          </w:p>
        </w:tc>
        <w:tc>
          <w:tcPr>
            <w:tcW w:w="1225" w:type="dxa"/>
            <w:tcBorders>
              <w:tl2br w:val="nil"/>
              <w:tr2bl w:val="nil"/>
            </w:tcBorders>
            <w:noWrap w:val="0"/>
            <w:vAlign w:val="center"/>
          </w:tcPr>
          <w:p w14:paraId="200D1330">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电  话</w:t>
            </w:r>
          </w:p>
        </w:tc>
        <w:tc>
          <w:tcPr>
            <w:tcW w:w="1613" w:type="dxa"/>
            <w:tcBorders>
              <w:tl2br w:val="nil"/>
              <w:tr2bl w:val="nil"/>
            </w:tcBorders>
            <w:noWrap w:val="0"/>
            <w:vAlign w:val="center"/>
          </w:tcPr>
          <w:p w14:paraId="2FDBB65B">
            <w:pPr>
              <w:jc w:val="center"/>
              <w:rPr>
                <w:rFonts w:hint="eastAsia" w:ascii="宋体" w:hAnsi="宋体" w:eastAsia="宋体" w:cs="宋体"/>
                <w:sz w:val="21"/>
                <w:szCs w:val="21"/>
                <w:vertAlign w:val="baseline"/>
                <w:lang w:val="en-US" w:eastAsia="zh-CN"/>
              </w:rPr>
            </w:pPr>
          </w:p>
        </w:tc>
      </w:tr>
      <w:tr w14:paraId="5C0F6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33EADB75">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技术负责人</w:t>
            </w:r>
          </w:p>
        </w:tc>
        <w:tc>
          <w:tcPr>
            <w:tcW w:w="1050" w:type="dxa"/>
            <w:tcBorders>
              <w:tl2br w:val="nil"/>
              <w:tr2bl w:val="nil"/>
            </w:tcBorders>
            <w:noWrap w:val="0"/>
            <w:vAlign w:val="center"/>
          </w:tcPr>
          <w:p w14:paraId="77A66F0D">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姓名</w:t>
            </w:r>
          </w:p>
        </w:tc>
        <w:tc>
          <w:tcPr>
            <w:tcW w:w="1237" w:type="dxa"/>
            <w:tcBorders>
              <w:tl2br w:val="nil"/>
              <w:tr2bl w:val="nil"/>
            </w:tcBorders>
            <w:noWrap w:val="0"/>
            <w:vAlign w:val="center"/>
          </w:tcPr>
          <w:p w14:paraId="71F86C75">
            <w:pPr>
              <w:jc w:val="center"/>
              <w:rPr>
                <w:rFonts w:hint="eastAsia" w:ascii="宋体" w:hAnsi="宋体" w:eastAsia="宋体" w:cs="宋体"/>
                <w:sz w:val="21"/>
                <w:szCs w:val="21"/>
                <w:vertAlign w:val="baseline"/>
                <w:lang w:val="en-US" w:eastAsia="zh-CN"/>
              </w:rPr>
            </w:pPr>
          </w:p>
        </w:tc>
        <w:tc>
          <w:tcPr>
            <w:tcW w:w="1188" w:type="dxa"/>
            <w:tcBorders>
              <w:tl2br w:val="nil"/>
              <w:tr2bl w:val="nil"/>
            </w:tcBorders>
            <w:noWrap w:val="0"/>
            <w:vAlign w:val="center"/>
          </w:tcPr>
          <w:p w14:paraId="46DEF15D">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技术职称</w:t>
            </w:r>
          </w:p>
        </w:tc>
        <w:tc>
          <w:tcPr>
            <w:tcW w:w="1337" w:type="dxa"/>
            <w:tcBorders>
              <w:tl2br w:val="nil"/>
              <w:tr2bl w:val="nil"/>
            </w:tcBorders>
            <w:noWrap w:val="0"/>
            <w:vAlign w:val="center"/>
          </w:tcPr>
          <w:p w14:paraId="4F8AE4B6">
            <w:pPr>
              <w:jc w:val="center"/>
              <w:rPr>
                <w:rFonts w:hint="eastAsia" w:ascii="宋体" w:hAnsi="宋体" w:eastAsia="宋体" w:cs="宋体"/>
                <w:sz w:val="21"/>
                <w:szCs w:val="21"/>
                <w:vertAlign w:val="baseline"/>
                <w:lang w:val="en-US" w:eastAsia="zh-CN"/>
              </w:rPr>
            </w:pPr>
          </w:p>
        </w:tc>
        <w:tc>
          <w:tcPr>
            <w:tcW w:w="1225" w:type="dxa"/>
            <w:tcBorders>
              <w:tl2br w:val="nil"/>
              <w:tr2bl w:val="nil"/>
            </w:tcBorders>
            <w:noWrap w:val="0"/>
            <w:vAlign w:val="center"/>
          </w:tcPr>
          <w:p w14:paraId="2BCA0D5F">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电  话</w:t>
            </w:r>
          </w:p>
        </w:tc>
        <w:tc>
          <w:tcPr>
            <w:tcW w:w="1613" w:type="dxa"/>
            <w:tcBorders>
              <w:tl2br w:val="nil"/>
              <w:tr2bl w:val="nil"/>
            </w:tcBorders>
            <w:noWrap w:val="0"/>
            <w:vAlign w:val="center"/>
          </w:tcPr>
          <w:p w14:paraId="36E135D9">
            <w:pPr>
              <w:jc w:val="center"/>
              <w:rPr>
                <w:rFonts w:hint="eastAsia" w:ascii="宋体" w:hAnsi="宋体" w:eastAsia="宋体" w:cs="宋体"/>
                <w:sz w:val="21"/>
                <w:szCs w:val="21"/>
                <w:vertAlign w:val="baseline"/>
                <w:lang w:val="en-US" w:eastAsia="zh-CN"/>
              </w:rPr>
            </w:pPr>
          </w:p>
        </w:tc>
      </w:tr>
      <w:tr w14:paraId="20FC8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3B566954">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成立时间</w:t>
            </w:r>
          </w:p>
        </w:tc>
        <w:tc>
          <w:tcPr>
            <w:tcW w:w="3475" w:type="dxa"/>
            <w:gridSpan w:val="3"/>
            <w:tcBorders>
              <w:tl2br w:val="nil"/>
              <w:tr2bl w:val="nil"/>
            </w:tcBorders>
            <w:noWrap w:val="0"/>
            <w:vAlign w:val="center"/>
          </w:tcPr>
          <w:p w14:paraId="1889571E">
            <w:pPr>
              <w:jc w:val="center"/>
              <w:rPr>
                <w:rFonts w:hint="eastAsia" w:ascii="宋体" w:hAnsi="宋体" w:eastAsia="宋体" w:cs="宋体"/>
                <w:sz w:val="21"/>
                <w:szCs w:val="21"/>
                <w:vertAlign w:val="baseline"/>
                <w:lang w:val="en-US" w:eastAsia="zh-CN"/>
              </w:rPr>
            </w:pPr>
          </w:p>
        </w:tc>
        <w:tc>
          <w:tcPr>
            <w:tcW w:w="1337" w:type="dxa"/>
            <w:tcBorders>
              <w:tl2br w:val="nil"/>
              <w:tr2bl w:val="nil"/>
            </w:tcBorders>
            <w:noWrap w:val="0"/>
            <w:vAlign w:val="center"/>
          </w:tcPr>
          <w:p w14:paraId="16E45F34">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员工人数</w:t>
            </w:r>
          </w:p>
        </w:tc>
        <w:tc>
          <w:tcPr>
            <w:tcW w:w="2838" w:type="dxa"/>
            <w:gridSpan w:val="2"/>
            <w:tcBorders>
              <w:tl2br w:val="nil"/>
              <w:tr2bl w:val="nil"/>
            </w:tcBorders>
            <w:noWrap w:val="0"/>
            <w:vAlign w:val="center"/>
          </w:tcPr>
          <w:p w14:paraId="58C2DF2E">
            <w:pPr>
              <w:jc w:val="center"/>
              <w:rPr>
                <w:rFonts w:hint="eastAsia" w:ascii="宋体" w:hAnsi="宋体" w:eastAsia="宋体" w:cs="宋体"/>
                <w:sz w:val="21"/>
                <w:szCs w:val="21"/>
                <w:vertAlign w:val="baseline"/>
                <w:lang w:val="en-US" w:eastAsia="zh-CN"/>
              </w:rPr>
            </w:pPr>
          </w:p>
        </w:tc>
      </w:tr>
      <w:tr w14:paraId="56E04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547F1924">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企业资质等级</w:t>
            </w:r>
          </w:p>
        </w:tc>
        <w:tc>
          <w:tcPr>
            <w:tcW w:w="3475" w:type="dxa"/>
            <w:gridSpan w:val="3"/>
            <w:tcBorders>
              <w:tl2br w:val="nil"/>
              <w:tr2bl w:val="nil"/>
            </w:tcBorders>
            <w:noWrap w:val="0"/>
            <w:vAlign w:val="center"/>
          </w:tcPr>
          <w:p w14:paraId="50943EC5">
            <w:pPr>
              <w:jc w:val="center"/>
              <w:rPr>
                <w:rFonts w:hint="eastAsia" w:ascii="宋体" w:hAnsi="宋体" w:eastAsia="宋体" w:cs="宋体"/>
                <w:sz w:val="21"/>
                <w:szCs w:val="21"/>
                <w:vertAlign w:val="baseline"/>
                <w:lang w:val="en-US" w:eastAsia="zh-CN"/>
              </w:rPr>
            </w:pPr>
          </w:p>
        </w:tc>
        <w:tc>
          <w:tcPr>
            <w:tcW w:w="1337" w:type="dxa"/>
            <w:vMerge w:val="restart"/>
            <w:tcBorders>
              <w:tl2br w:val="nil"/>
              <w:tr2bl w:val="nil"/>
            </w:tcBorders>
            <w:noWrap w:val="0"/>
            <w:vAlign w:val="center"/>
          </w:tcPr>
          <w:p w14:paraId="61A732B6">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其中</w:t>
            </w:r>
          </w:p>
        </w:tc>
        <w:tc>
          <w:tcPr>
            <w:tcW w:w="1225" w:type="dxa"/>
            <w:tcBorders>
              <w:tl2br w:val="nil"/>
              <w:tr2bl w:val="nil"/>
            </w:tcBorders>
            <w:noWrap w:val="0"/>
            <w:vAlign w:val="center"/>
          </w:tcPr>
          <w:p w14:paraId="14890618">
            <w:pPr>
              <w:jc w:val="left"/>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项目经理</w:t>
            </w:r>
          </w:p>
        </w:tc>
        <w:tc>
          <w:tcPr>
            <w:tcW w:w="1613" w:type="dxa"/>
            <w:tcBorders>
              <w:tl2br w:val="nil"/>
              <w:tr2bl w:val="nil"/>
            </w:tcBorders>
            <w:noWrap w:val="0"/>
            <w:vAlign w:val="center"/>
          </w:tcPr>
          <w:p w14:paraId="50E1216B">
            <w:pPr>
              <w:jc w:val="center"/>
              <w:rPr>
                <w:rFonts w:hint="eastAsia" w:ascii="宋体" w:hAnsi="宋体" w:eastAsia="宋体" w:cs="宋体"/>
                <w:sz w:val="21"/>
                <w:szCs w:val="21"/>
                <w:vertAlign w:val="baseline"/>
                <w:lang w:val="en-US" w:eastAsia="zh-CN"/>
              </w:rPr>
            </w:pPr>
          </w:p>
        </w:tc>
      </w:tr>
      <w:tr w14:paraId="70D5C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exact"/>
          <w:jc w:val="center"/>
        </w:trPr>
        <w:tc>
          <w:tcPr>
            <w:tcW w:w="1652" w:type="dxa"/>
            <w:tcBorders>
              <w:tl2br w:val="nil"/>
              <w:tr2bl w:val="nil"/>
            </w:tcBorders>
            <w:noWrap w:val="0"/>
            <w:vAlign w:val="center"/>
          </w:tcPr>
          <w:p w14:paraId="5F7D097D">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统一社会信用代码</w:t>
            </w:r>
          </w:p>
        </w:tc>
        <w:tc>
          <w:tcPr>
            <w:tcW w:w="3475" w:type="dxa"/>
            <w:gridSpan w:val="3"/>
            <w:tcBorders>
              <w:tl2br w:val="nil"/>
              <w:tr2bl w:val="nil"/>
            </w:tcBorders>
            <w:noWrap w:val="0"/>
            <w:vAlign w:val="center"/>
          </w:tcPr>
          <w:p w14:paraId="5FEC7103">
            <w:pPr>
              <w:jc w:val="center"/>
              <w:rPr>
                <w:rFonts w:hint="eastAsia" w:ascii="宋体" w:hAnsi="宋体" w:eastAsia="宋体" w:cs="宋体"/>
                <w:sz w:val="21"/>
                <w:szCs w:val="21"/>
                <w:vertAlign w:val="baseline"/>
                <w:lang w:val="en-US" w:eastAsia="zh-CN"/>
              </w:rPr>
            </w:pPr>
          </w:p>
        </w:tc>
        <w:tc>
          <w:tcPr>
            <w:tcW w:w="1337" w:type="dxa"/>
            <w:vMerge w:val="continue"/>
            <w:tcBorders>
              <w:tl2br w:val="nil"/>
              <w:tr2bl w:val="nil"/>
            </w:tcBorders>
            <w:noWrap w:val="0"/>
            <w:vAlign w:val="center"/>
          </w:tcPr>
          <w:p w14:paraId="5F44524C">
            <w:pPr>
              <w:jc w:val="center"/>
              <w:rPr>
                <w:rFonts w:hint="eastAsia" w:ascii="宋体" w:hAnsi="宋体" w:eastAsia="宋体" w:cs="宋体"/>
                <w:sz w:val="21"/>
                <w:szCs w:val="21"/>
                <w:vertAlign w:val="baseline"/>
                <w:lang w:val="en-US" w:eastAsia="zh-CN"/>
              </w:rPr>
            </w:pPr>
          </w:p>
        </w:tc>
        <w:tc>
          <w:tcPr>
            <w:tcW w:w="1225" w:type="dxa"/>
            <w:tcBorders>
              <w:tl2br w:val="nil"/>
              <w:tr2bl w:val="nil"/>
            </w:tcBorders>
            <w:noWrap w:val="0"/>
            <w:vAlign w:val="center"/>
          </w:tcPr>
          <w:p w14:paraId="691D21C2">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高级职称</w:t>
            </w:r>
          </w:p>
        </w:tc>
        <w:tc>
          <w:tcPr>
            <w:tcW w:w="1613" w:type="dxa"/>
            <w:tcBorders>
              <w:tl2br w:val="nil"/>
              <w:tr2bl w:val="nil"/>
            </w:tcBorders>
            <w:noWrap w:val="0"/>
            <w:vAlign w:val="center"/>
          </w:tcPr>
          <w:p w14:paraId="6863A606">
            <w:pPr>
              <w:jc w:val="center"/>
              <w:rPr>
                <w:rFonts w:hint="eastAsia" w:ascii="宋体" w:hAnsi="宋体" w:eastAsia="宋体" w:cs="宋体"/>
                <w:sz w:val="21"/>
                <w:szCs w:val="21"/>
                <w:vertAlign w:val="baseline"/>
                <w:lang w:val="en-US" w:eastAsia="zh-CN"/>
              </w:rPr>
            </w:pPr>
          </w:p>
        </w:tc>
      </w:tr>
      <w:tr w14:paraId="57423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0D38CABE">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注册资金</w:t>
            </w:r>
          </w:p>
        </w:tc>
        <w:tc>
          <w:tcPr>
            <w:tcW w:w="3475" w:type="dxa"/>
            <w:gridSpan w:val="3"/>
            <w:tcBorders>
              <w:tl2br w:val="nil"/>
              <w:tr2bl w:val="nil"/>
            </w:tcBorders>
            <w:noWrap w:val="0"/>
            <w:vAlign w:val="center"/>
          </w:tcPr>
          <w:p w14:paraId="6CD10571">
            <w:pPr>
              <w:jc w:val="center"/>
              <w:rPr>
                <w:rFonts w:hint="eastAsia" w:ascii="宋体" w:hAnsi="宋体" w:eastAsia="宋体" w:cs="宋体"/>
                <w:sz w:val="21"/>
                <w:szCs w:val="21"/>
                <w:vertAlign w:val="baseline"/>
                <w:lang w:val="en-US" w:eastAsia="zh-CN"/>
              </w:rPr>
            </w:pPr>
          </w:p>
        </w:tc>
        <w:tc>
          <w:tcPr>
            <w:tcW w:w="1337" w:type="dxa"/>
            <w:vMerge w:val="continue"/>
            <w:tcBorders>
              <w:tl2br w:val="nil"/>
              <w:tr2bl w:val="nil"/>
            </w:tcBorders>
            <w:noWrap w:val="0"/>
            <w:vAlign w:val="center"/>
          </w:tcPr>
          <w:p w14:paraId="0281F7BA">
            <w:pPr>
              <w:jc w:val="center"/>
              <w:rPr>
                <w:rFonts w:hint="eastAsia" w:ascii="宋体" w:hAnsi="宋体" w:eastAsia="宋体" w:cs="宋体"/>
                <w:sz w:val="21"/>
                <w:szCs w:val="21"/>
                <w:vertAlign w:val="baseline"/>
                <w:lang w:val="en-US" w:eastAsia="zh-CN"/>
              </w:rPr>
            </w:pPr>
          </w:p>
        </w:tc>
        <w:tc>
          <w:tcPr>
            <w:tcW w:w="1225" w:type="dxa"/>
            <w:tcBorders>
              <w:tl2br w:val="nil"/>
              <w:tr2bl w:val="nil"/>
            </w:tcBorders>
            <w:noWrap w:val="0"/>
            <w:vAlign w:val="center"/>
          </w:tcPr>
          <w:p w14:paraId="2D1E20E6">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中级职称</w:t>
            </w:r>
          </w:p>
        </w:tc>
        <w:tc>
          <w:tcPr>
            <w:tcW w:w="1613" w:type="dxa"/>
            <w:tcBorders>
              <w:tl2br w:val="nil"/>
              <w:tr2bl w:val="nil"/>
            </w:tcBorders>
            <w:noWrap w:val="0"/>
            <w:vAlign w:val="center"/>
          </w:tcPr>
          <w:p w14:paraId="71DA2BE9">
            <w:pPr>
              <w:jc w:val="center"/>
              <w:rPr>
                <w:rFonts w:hint="eastAsia" w:ascii="宋体" w:hAnsi="宋体" w:eastAsia="宋体" w:cs="宋体"/>
                <w:sz w:val="21"/>
                <w:szCs w:val="21"/>
                <w:vertAlign w:val="baseline"/>
                <w:lang w:val="en-US" w:eastAsia="zh-CN"/>
              </w:rPr>
            </w:pPr>
          </w:p>
        </w:tc>
      </w:tr>
      <w:tr w14:paraId="46721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1BA84C71">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开户银行</w:t>
            </w:r>
          </w:p>
        </w:tc>
        <w:tc>
          <w:tcPr>
            <w:tcW w:w="3475" w:type="dxa"/>
            <w:gridSpan w:val="3"/>
            <w:tcBorders>
              <w:tl2br w:val="nil"/>
              <w:tr2bl w:val="nil"/>
            </w:tcBorders>
            <w:noWrap w:val="0"/>
            <w:vAlign w:val="center"/>
          </w:tcPr>
          <w:p w14:paraId="66527881">
            <w:pPr>
              <w:jc w:val="center"/>
              <w:rPr>
                <w:rFonts w:hint="eastAsia" w:ascii="宋体" w:hAnsi="宋体" w:eastAsia="宋体" w:cs="宋体"/>
                <w:sz w:val="21"/>
                <w:szCs w:val="21"/>
                <w:vertAlign w:val="baseline"/>
                <w:lang w:val="en-US" w:eastAsia="zh-CN"/>
              </w:rPr>
            </w:pPr>
          </w:p>
        </w:tc>
        <w:tc>
          <w:tcPr>
            <w:tcW w:w="1337" w:type="dxa"/>
            <w:vMerge w:val="continue"/>
            <w:tcBorders>
              <w:tl2br w:val="nil"/>
              <w:tr2bl w:val="nil"/>
            </w:tcBorders>
            <w:noWrap w:val="0"/>
            <w:vAlign w:val="center"/>
          </w:tcPr>
          <w:p w14:paraId="02CCFC86">
            <w:pPr>
              <w:jc w:val="center"/>
              <w:rPr>
                <w:rFonts w:hint="eastAsia" w:ascii="宋体" w:hAnsi="宋体" w:eastAsia="宋体" w:cs="宋体"/>
                <w:sz w:val="21"/>
                <w:szCs w:val="21"/>
                <w:vertAlign w:val="baseline"/>
                <w:lang w:val="en-US" w:eastAsia="zh-CN"/>
              </w:rPr>
            </w:pPr>
          </w:p>
        </w:tc>
        <w:tc>
          <w:tcPr>
            <w:tcW w:w="1225" w:type="dxa"/>
            <w:tcBorders>
              <w:tl2br w:val="nil"/>
              <w:tr2bl w:val="nil"/>
            </w:tcBorders>
            <w:noWrap w:val="0"/>
            <w:vAlign w:val="center"/>
          </w:tcPr>
          <w:p w14:paraId="2C427D73">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初级职称</w:t>
            </w:r>
          </w:p>
        </w:tc>
        <w:tc>
          <w:tcPr>
            <w:tcW w:w="1613" w:type="dxa"/>
            <w:tcBorders>
              <w:tl2br w:val="nil"/>
              <w:tr2bl w:val="nil"/>
            </w:tcBorders>
            <w:noWrap w:val="0"/>
            <w:vAlign w:val="center"/>
          </w:tcPr>
          <w:p w14:paraId="6F8AA1A8">
            <w:pPr>
              <w:jc w:val="center"/>
              <w:rPr>
                <w:rFonts w:hint="eastAsia" w:ascii="宋体" w:hAnsi="宋体" w:eastAsia="宋体" w:cs="宋体"/>
                <w:sz w:val="21"/>
                <w:szCs w:val="21"/>
                <w:vertAlign w:val="baseline"/>
                <w:lang w:val="en-US" w:eastAsia="zh-CN"/>
              </w:rPr>
            </w:pPr>
          </w:p>
        </w:tc>
      </w:tr>
      <w:tr w14:paraId="28417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1A416FBF">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账    号</w:t>
            </w:r>
          </w:p>
        </w:tc>
        <w:tc>
          <w:tcPr>
            <w:tcW w:w="3475" w:type="dxa"/>
            <w:gridSpan w:val="3"/>
            <w:tcBorders>
              <w:tl2br w:val="nil"/>
              <w:tr2bl w:val="nil"/>
            </w:tcBorders>
            <w:noWrap w:val="0"/>
            <w:vAlign w:val="center"/>
          </w:tcPr>
          <w:p w14:paraId="2397E7DC">
            <w:pPr>
              <w:jc w:val="center"/>
              <w:rPr>
                <w:rFonts w:hint="eastAsia" w:ascii="宋体" w:hAnsi="宋体" w:eastAsia="宋体" w:cs="宋体"/>
                <w:sz w:val="21"/>
                <w:szCs w:val="21"/>
                <w:vertAlign w:val="baseline"/>
                <w:lang w:val="en-US" w:eastAsia="zh-CN"/>
              </w:rPr>
            </w:pPr>
          </w:p>
        </w:tc>
        <w:tc>
          <w:tcPr>
            <w:tcW w:w="1337" w:type="dxa"/>
            <w:vMerge w:val="continue"/>
            <w:tcBorders>
              <w:tl2br w:val="nil"/>
              <w:tr2bl w:val="nil"/>
            </w:tcBorders>
            <w:noWrap w:val="0"/>
            <w:vAlign w:val="center"/>
          </w:tcPr>
          <w:p w14:paraId="44D89015">
            <w:pPr>
              <w:jc w:val="center"/>
              <w:rPr>
                <w:rFonts w:hint="eastAsia" w:ascii="宋体" w:hAnsi="宋体" w:eastAsia="宋体" w:cs="宋体"/>
                <w:sz w:val="21"/>
                <w:szCs w:val="21"/>
                <w:vertAlign w:val="baseline"/>
                <w:lang w:val="en-US" w:eastAsia="zh-CN"/>
              </w:rPr>
            </w:pPr>
          </w:p>
        </w:tc>
        <w:tc>
          <w:tcPr>
            <w:tcW w:w="1225" w:type="dxa"/>
            <w:tcBorders>
              <w:tl2br w:val="nil"/>
              <w:tr2bl w:val="nil"/>
            </w:tcBorders>
            <w:noWrap w:val="0"/>
            <w:vAlign w:val="center"/>
          </w:tcPr>
          <w:p w14:paraId="1E0F1AD2">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技    工</w:t>
            </w:r>
          </w:p>
        </w:tc>
        <w:tc>
          <w:tcPr>
            <w:tcW w:w="1613" w:type="dxa"/>
            <w:tcBorders>
              <w:tl2br w:val="nil"/>
              <w:tr2bl w:val="nil"/>
            </w:tcBorders>
            <w:noWrap w:val="0"/>
            <w:vAlign w:val="center"/>
          </w:tcPr>
          <w:p w14:paraId="5FC8211D">
            <w:pPr>
              <w:jc w:val="center"/>
              <w:rPr>
                <w:rFonts w:hint="eastAsia" w:ascii="宋体" w:hAnsi="宋体" w:eastAsia="宋体" w:cs="宋体"/>
                <w:sz w:val="21"/>
                <w:szCs w:val="21"/>
                <w:vertAlign w:val="baseline"/>
                <w:lang w:val="en-US" w:eastAsia="zh-CN"/>
              </w:rPr>
            </w:pPr>
          </w:p>
        </w:tc>
      </w:tr>
      <w:tr w14:paraId="16700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exact"/>
          <w:jc w:val="center"/>
        </w:trPr>
        <w:tc>
          <w:tcPr>
            <w:tcW w:w="1652" w:type="dxa"/>
            <w:tcBorders>
              <w:tl2br w:val="nil"/>
              <w:tr2bl w:val="nil"/>
            </w:tcBorders>
            <w:noWrap w:val="0"/>
            <w:vAlign w:val="center"/>
          </w:tcPr>
          <w:p w14:paraId="27FB923D">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投标人关联</w:t>
            </w:r>
          </w:p>
          <w:p w14:paraId="6C32A9AA">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企业情况</w:t>
            </w:r>
          </w:p>
        </w:tc>
        <w:tc>
          <w:tcPr>
            <w:tcW w:w="7650" w:type="dxa"/>
            <w:gridSpan w:val="6"/>
            <w:tcBorders>
              <w:tl2br w:val="nil"/>
              <w:tr2bl w:val="nil"/>
            </w:tcBorders>
            <w:noWrap w:val="0"/>
            <w:vAlign w:val="center"/>
          </w:tcPr>
          <w:p w14:paraId="4E33FE4F">
            <w:pPr>
              <w:jc w:val="center"/>
              <w:rPr>
                <w:rFonts w:hint="eastAsia" w:ascii="宋体" w:hAnsi="宋体" w:eastAsia="宋体" w:cs="宋体"/>
                <w:sz w:val="21"/>
                <w:szCs w:val="21"/>
                <w:vertAlign w:val="baseline"/>
                <w:lang w:val="en-US" w:eastAsia="zh-CN"/>
              </w:rPr>
            </w:pPr>
          </w:p>
        </w:tc>
      </w:tr>
      <w:tr w14:paraId="538E2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exact"/>
          <w:jc w:val="center"/>
        </w:trPr>
        <w:tc>
          <w:tcPr>
            <w:tcW w:w="1652" w:type="dxa"/>
            <w:tcBorders>
              <w:tl2br w:val="nil"/>
              <w:tr2bl w:val="nil"/>
            </w:tcBorders>
            <w:noWrap w:val="0"/>
            <w:vAlign w:val="center"/>
          </w:tcPr>
          <w:p w14:paraId="73492026">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经营范围</w:t>
            </w:r>
          </w:p>
        </w:tc>
        <w:tc>
          <w:tcPr>
            <w:tcW w:w="7650" w:type="dxa"/>
            <w:gridSpan w:val="6"/>
            <w:tcBorders>
              <w:tl2br w:val="nil"/>
              <w:tr2bl w:val="nil"/>
            </w:tcBorders>
            <w:noWrap w:val="0"/>
            <w:vAlign w:val="center"/>
          </w:tcPr>
          <w:p w14:paraId="004EBE91">
            <w:pPr>
              <w:jc w:val="center"/>
              <w:rPr>
                <w:rFonts w:hint="eastAsia" w:ascii="宋体" w:hAnsi="宋体" w:eastAsia="宋体" w:cs="宋体"/>
                <w:sz w:val="21"/>
                <w:szCs w:val="21"/>
                <w:vertAlign w:val="baseline"/>
                <w:lang w:val="en-US" w:eastAsia="zh-CN"/>
              </w:rPr>
            </w:pPr>
          </w:p>
        </w:tc>
      </w:tr>
      <w:tr w14:paraId="24B94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exact"/>
          <w:jc w:val="center"/>
        </w:trPr>
        <w:tc>
          <w:tcPr>
            <w:tcW w:w="1652" w:type="dxa"/>
            <w:tcBorders>
              <w:tl2br w:val="nil"/>
              <w:tr2bl w:val="nil"/>
            </w:tcBorders>
            <w:noWrap w:val="0"/>
            <w:vAlign w:val="center"/>
          </w:tcPr>
          <w:p w14:paraId="1BDF1317">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备    注</w:t>
            </w:r>
          </w:p>
        </w:tc>
        <w:tc>
          <w:tcPr>
            <w:tcW w:w="7650" w:type="dxa"/>
            <w:gridSpan w:val="6"/>
            <w:tcBorders>
              <w:tl2br w:val="nil"/>
              <w:tr2bl w:val="nil"/>
            </w:tcBorders>
            <w:noWrap w:val="0"/>
            <w:vAlign w:val="center"/>
          </w:tcPr>
          <w:p w14:paraId="7DD4245A">
            <w:pPr>
              <w:jc w:val="center"/>
              <w:rPr>
                <w:rFonts w:hint="eastAsia" w:ascii="宋体" w:hAnsi="宋体" w:eastAsia="宋体" w:cs="宋体"/>
                <w:sz w:val="21"/>
                <w:szCs w:val="21"/>
                <w:vertAlign w:val="baseline"/>
                <w:lang w:val="en-US" w:eastAsia="zh-CN"/>
              </w:rPr>
            </w:pPr>
          </w:p>
        </w:tc>
      </w:tr>
    </w:tbl>
    <w:p w14:paraId="7480463F">
      <w:pPr>
        <w:spacing w:line="440" w:lineRule="exact"/>
        <w:rPr>
          <w:rFonts w:hint="eastAsia" w:ascii="宋体" w:hAnsi="宋体"/>
          <w:szCs w:val="21"/>
        </w:rPr>
      </w:pPr>
      <w:r>
        <w:rPr>
          <w:rFonts w:hint="eastAsia" w:ascii="黑体" w:hAnsi="宋体" w:eastAsia="黑体"/>
          <w:szCs w:val="21"/>
        </w:rPr>
        <w:t>备注：</w:t>
      </w:r>
      <w:r>
        <w:rPr>
          <w:rFonts w:hint="eastAsia" w:ascii="宋体" w:hAnsi="宋体"/>
          <w:szCs w:val="21"/>
        </w:rPr>
        <w:t>本表后附企业基本信息相关电子件。</w:t>
      </w:r>
    </w:p>
    <w:p w14:paraId="1F3F6A87">
      <w:pPr>
        <w:rPr>
          <w:rFonts w:hint="default" w:ascii="宋体" w:hAnsi="宋体" w:eastAsia="宋体" w:cs="宋体"/>
          <w:sz w:val="24"/>
          <w:szCs w:val="24"/>
          <w:vertAlign w:val="baseline"/>
          <w:lang w:val="en-US" w:eastAsia="zh-CN"/>
        </w:rPr>
      </w:pPr>
    </w:p>
    <w:p w14:paraId="44716E9F">
      <w:pPr>
        <w:jc w:val="left"/>
        <w:rPr>
          <w:rFonts w:hint="eastAsia" w:ascii="宋体" w:hAnsi="宋体" w:cs="宋体"/>
          <w:b/>
          <w:bCs/>
          <w:sz w:val="24"/>
          <w:szCs w:val="24"/>
          <w:vertAlign w:val="baseline"/>
          <w:lang w:val="en-US" w:eastAsia="zh-CN"/>
        </w:rPr>
      </w:pPr>
    </w:p>
    <w:p w14:paraId="0C77CD7F">
      <w:pPr>
        <w:jc w:val="left"/>
        <w:rPr>
          <w:rFonts w:hint="eastAsia" w:ascii="宋体" w:hAnsi="宋体" w:cs="宋体"/>
          <w:b/>
          <w:bCs/>
          <w:sz w:val="24"/>
          <w:szCs w:val="24"/>
          <w:vertAlign w:val="baseline"/>
          <w:lang w:val="en-US" w:eastAsia="zh-CN"/>
        </w:rPr>
      </w:pPr>
    </w:p>
    <w:p w14:paraId="7AE0EE0D">
      <w:pPr>
        <w:jc w:val="left"/>
        <w:rPr>
          <w:rFonts w:hint="eastAsia" w:ascii="宋体" w:hAnsi="宋体" w:cs="宋体"/>
          <w:b/>
          <w:bCs/>
          <w:sz w:val="24"/>
          <w:szCs w:val="24"/>
          <w:vertAlign w:val="baseline"/>
          <w:lang w:val="en-US" w:eastAsia="zh-CN"/>
        </w:rPr>
      </w:pPr>
    </w:p>
    <w:p w14:paraId="7DFB9FEB">
      <w:pPr>
        <w:jc w:val="left"/>
        <w:rPr>
          <w:rFonts w:hint="eastAsia" w:ascii="宋体" w:hAnsi="宋体" w:cs="宋体"/>
          <w:b/>
          <w:bCs/>
          <w:sz w:val="24"/>
          <w:szCs w:val="24"/>
          <w:vertAlign w:val="baseline"/>
          <w:lang w:val="en-US" w:eastAsia="zh-CN"/>
        </w:rPr>
      </w:pPr>
    </w:p>
    <w:p w14:paraId="249D0E79">
      <w:pPr>
        <w:jc w:val="left"/>
        <w:rPr>
          <w:rFonts w:hint="eastAsia" w:ascii="宋体" w:hAnsi="宋体" w:cs="宋体"/>
          <w:sz w:val="24"/>
          <w:szCs w:val="24"/>
          <w:vertAlign w:val="baseline"/>
          <w:lang w:val="en-US" w:eastAsia="zh-CN"/>
        </w:rPr>
      </w:pPr>
      <w:r>
        <w:rPr>
          <w:rFonts w:hint="eastAsia" w:ascii="宋体" w:hAnsi="宋体" w:cs="宋体"/>
          <w:b/>
          <w:bCs/>
          <w:sz w:val="24"/>
          <w:szCs w:val="24"/>
          <w:vertAlign w:val="baseline"/>
          <w:lang w:val="en-US" w:eastAsia="zh-CN"/>
        </w:rPr>
        <w:t>附：</w:t>
      </w:r>
    </w:p>
    <w:tbl>
      <w:tblPr>
        <w:tblStyle w:val="26"/>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0"/>
        <w:gridCol w:w="6420"/>
        <w:gridCol w:w="1995"/>
      </w:tblGrid>
      <w:tr w14:paraId="4E47C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30" w:type="dxa"/>
            <w:tcBorders>
              <w:tl2br w:val="nil"/>
              <w:tr2bl w:val="nil"/>
            </w:tcBorders>
            <w:noWrap w:val="0"/>
            <w:vAlign w:val="center"/>
          </w:tcPr>
          <w:p w14:paraId="5C2F0167">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序号</w:t>
            </w:r>
          </w:p>
        </w:tc>
        <w:tc>
          <w:tcPr>
            <w:tcW w:w="6420" w:type="dxa"/>
            <w:tcBorders>
              <w:tl2br w:val="nil"/>
              <w:tr2bl w:val="nil"/>
            </w:tcBorders>
            <w:noWrap w:val="0"/>
            <w:vAlign w:val="center"/>
          </w:tcPr>
          <w:p w14:paraId="669F5F44">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电子件名称</w:t>
            </w:r>
          </w:p>
        </w:tc>
        <w:tc>
          <w:tcPr>
            <w:tcW w:w="1995" w:type="dxa"/>
            <w:tcBorders>
              <w:tl2br w:val="nil"/>
              <w:tr2bl w:val="nil"/>
            </w:tcBorders>
            <w:noWrap w:val="0"/>
            <w:vAlign w:val="center"/>
          </w:tcPr>
          <w:p w14:paraId="103EDEAF">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查看</w:t>
            </w:r>
          </w:p>
        </w:tc>
      </w:tr>
      <w:tr w14:paraId="1B65D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30" w:type="dxa"/>
            <w:tcBorders>
              <w:tl2br w:val="nil"/>
              <w:tr2bl w:val="nil"/>
            </w:tcBorders>
            <w:noWrap w:val="0"/>
            <w:vAlign w:val="center"/>
          </w:tcPr>
          <w:p w14:paraId="70CAB306">
            <w:pPr>
              <w:jc w:val="center"/>
              <w:rPr>
                <w:rFonts w:hint="default" w:ascii="宋体" w:hAnsi="宋体" w:cs="宋体"/>
                <w:sz w:val="24"/>
                <w:szCs w:val="24"/>
                <w:vertAlign w:val="baseline"/>
                <w:lang w:val="en-US" w:eastAsia="zh-CN"/>
              </w:rPr>
            </w:pPr>
          </w:p>
        </w:tc>
        <w:tc>
          <w:tcPr>
            <w:tcW w:w="6420" w:type="dxa"/>
            <w:tcBorders>
              <w:tl2br w:val="nil"/>
              <w:tr2bl w:val="nil"/>
            </w:tcBorders>
            <w:noWrap w:val="0"/>
            <w:vAlign w:val="center"/>
          </w:tcPr>
          <w:p w14:paraId="3C995B72">
            <w:pPr>
              <w:jc w:val="left"/>
              <w:rPr>
                <w:rFonts w:hint="default" w:ascii="宋体" w:hAnsi="宋体" w:cs="宋体"/>
                <w:sz w:val="24"/>
                <w:szCs w:val="24"/>
                <w:vertAlign w:val="baseline"/>
                <w:lang w:val="en-US" w:eastAsia="zh-CN"/>
              </w:rPr>
            </w:pPr>
          </w:p>
        </w:tc>
        <w:tc>
          <w:tcPr>
            <w:tcW w:w="1995" w:type="dxa"/>
            <w:tcBorders>
              <w:tl2br w:val="nil"/>
              <w:tr2bl w:val="nil"/>
            </w:tcBorders>
            <w:noWrap w:val="0"/>
            <w:vAlign w:val="center"/>
          </w:tcPr>
          <w:p w14:paraId="07FA86DE">
            <w:pPr>
              <w:jc w:val="center"/>
              <w:rPr>
                <w:rFonts w:hint="default" w:ascii="宋体" w:hAnsi="宋体" w:cs="宋体"/>
                <w:sz w:val="24"/>
                <w:szCs w:val="24"/>
                <w:vertAlign w:val="baseline"/>
                <w:lang w:val="en-US" w:eastAsia="zh-CN"/>
              </w:rPr>
            </w:pPr>
          </w:p>
        </w:tc>
      </w:tr>
    </w:tbl>
    <w:p w14:paraId="2F560106">
      <w:pPr>
        <w:jc w:val="left"/>
        <w:rPr>
          <w:rFonts w:hint="default" w:ascii="宋体" w:hAnsi="宋体" w:cs="宋体"/>
          <w:sz w:val="24"/>
          <w:szCs w:val="24"/>
          <w:vertAlign w:val="baseline"/>
          <w:lang w:val="en-US" w:eastAsia="zh-CN"/>
        </w:rPr>
      </w:pPr>
    </w:p>
    <w:p w14:paraId="712C5324">
      <w:pPr>
        <w:keepNext w:val="0"/>
        <w:keepLines w:val="0"/>
        <w:pageBreakBefore w:val="0"/>
        <w:widowControl w:val="0"/>
        <w:kinsoku/>
        <w:wordWrap/>
        <w:overflowPunct/>
        <w:topLinePunct w:val="0"/>
        <w:autoSpaceDE/>
        <w:autoSpaceDN/>
        <w:bidi w:val="0"/>
        <w:adjustRightInd/>
        <w:snapToGrid/>
        <w:spacing w:before="120" w:beforeLines="50" w:after="240" w:afterLines="100" w:line="440" w:lineRule="exact"/>
        <w:jc w:val="center"/>
        <w:textAlignment w:val="auto"/>
        <w:outlineLvl w:val="1"/>
        <w:rPr>
          <w:rFonts w:hint="eastAsia" w:ascii="黑体" w:hAnsi="宋体" w:eastAsia="黑体"/>
          <w:sz w:val="24"/>
        </w:rPr>
      </w:pPr>
      <w:r>
        <w:rPr>
          <w:rFonts w:ascii="宋体" w:hAnsi="宋体"/>
          <w:szCs w:val="21"/>
        </w:rPr>
        <w:br w:type="page"/>
      </w:r>
      <w:bookmarkStart w:id="466" w:name="_Toc30360"/>
      <w:bookmarkStart w:id="467" w:name="_Toc24879"/>
      <w:bookmarkStart w:id="468" w:name="_Toc24878"/>
      <w:r>
        <w:rPr>
          <w:rFonts w:hint="eastAsia" w:ascii="黑体" w:hAnsi="宋体" w:eastAsia="黑体"/>
          <w:sz w:val="24"/>
        </w:rPr>
        <w:t>（二）近年财务状况表</w:t>
      </w:r>
      <w:bookmarkEnd w:id="466"/>
      <w:bookmarkEnd w:id="467"/>
      <w:bookmarkEnd w:id="468"/>
    </w:p>
    <w:p w14:paraId="5C0D624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default"/>
          <w:b w:val="0"/>
          <w:bCs w:val="0"/>
          <w:sz w:val="21"/>
          <w:szCs w:val="21"/>
          <w:lang w:val="en-US" w:eastAsia="zh-CN"/>
        </w:rPr>
      </w:pPr>
      <w:r>
        <w:rPr>
          <w:rFonts w:hint="default"/>
          <w:b w:val="0"/>
          <w:bCs w:val="0"/>
          <w:sz w:val="21"/>
          <w:szCs w:val="21"/>
          <w:lang w:val="en-US" w:eastAsia="zh-CN"/>
        </w:rPr>
        <w:t>近年财务状况应附经会计师事务所或审计机构审计的财务会计报表，包括资产负债表、现金流量表、利润表和财务情况说明书的电子文件，具体要求见投标人须知</w:t>
      </w:r>
      <w:r>
        <w:rPr>
          <w:rFonts w:hint="eastAsia"/>
          <w:b w:val="0"/>
          <w:bCs w:val="0"/>
          <w:sz w:val="21"/>
          <w:szCs w:val="21"/>
          <w:lang w:val="en-US" w:eastAsia="zh-CN"/>
        </w:rPr>
        <w:t>。</w:t>
      </w:r>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7"/>
        <w:gridCol w:w="1465"/>
        <w:gridCol w:w="4689"/>
        <w:gridCol w:w="1805"/>
      </w:tblGrid>
      <w:tr w14:paraId="5182E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970" w:type="dxa"/>
            <w:tcBorders>
              <w:tl2br w:val="nil"/>
              <w:tr2bl w:val="nil"/>
            </w:tcBorders>
            <w:noWrap w:val="0"/>
            <w:vAlign w:val="center"/>
          </w:tcPr>
          <w:p w14:paraId="7D0E376F">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序号</w:t>
            </w:r>
          </w:p>
        </w:tc>
        <w:tc>
          <w:tcPr>
            <w:tcW w:w="1626" w:type="dxa"/>
            <w:tcBorders>
              <w:tl2br w:val="nil"/>
              <w:tr2bl w:val="nil"/>
            </w:tcBorders>
            <w:noWrap w:val="0"/>
            <w:vAlign w:val="center"/>
          </w:tcPr>
          <w:p w14:paraId="43B54AA8">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年度</w:t>
            </w:r>
          </w:p>
        </w:tc>
        <w:tc>
          <w:tcPr>
            <w:tcW w:w="5348" w:type="dxa"/>
            <w:tcBorders>
              <w:tl2br w:val="nil"/>
              <w:tr2bl w:val="nil"/>
            </w:tcBorders>
            <w:noWrap w:val="0"/>
            <w:vAlign w:val="center"/>
          </w:tcPr>
          <w:p w14:paraId="30A9B113">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说明</w:t>
            </w:r>
          </w:p>
        </w:tc>
        <w:tc>
          <w:tcPr>
            <w:tcW w:w="2018" w:type="dxa"/>
            <w:tcBorders>
              <w:tl2br w:val="nil"/>
              <w:tr2bl w:val="nil"/>
            </w:tcBorders>
            <w:noWrap w:val="0"/>
            <w:vAlign w:val="center"/>
          </w:tcPr>
          <w:p w14:paraId="4A3164EC">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查看</w:t>
            </w:r>
          </w:p>
        </w:tc>
      </w:tr>
      <w:tr w14:paraId="7F6CF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970" w:type="dxa"/>
            <w:tcBorders>
              <w:tl2br w:val="nil"/>
              <w:tr2bl w:val="nil"/>
            </w:tcBorders>
            <w:noWrap w:val="0"/>
            <w:vAlign w:val="center"/>
          </w:tcPr>
          <w:p w14:paraId="5DC944D8">
            <w:pPr>
              <w:jc w:val="center"/>
              <w:rPr>
                <w:rFonts w:hint="default" w:ascii="宋体" w:hAnsi="宋体" w:cs="宋体"/>
                <w:sz w:val="21"/>
                <w:szCs w:val="21"/>
                <w:vertAlign w:val="baseline"/>
                <w:lang w:val="en-US" w:eastAsia="zh-CN"/>
              </w:rPr>
            </w:pPr>
          </w:p>
        </w:tc>
        <w:tc>
          <w:tcPr>
            <w:tcW w:w="1626" w:type="dxa"/>
            <w:tcBorders>
              <w:tl2br w:val="nil"/>
              <w:tr2bl w:val="nil"/>
            </w:tcBorders>
            <w:noWrap w:val="0"/>
            <w:vAlign w:val="center"/>
          </w:tcPr>
          <w:p w14:paraId="3B8FD24A">
            <w:pPr>
              <w:jc w:val="center"/>
              <w:rPr>
                <w:rFonts w:hint="default" w:ascii="宋体" w:hAnsi="宋体" w:cs="宋体"/>
                <w:sz w:val="21"/>
                <w:szCs w:val="21"/>
                <w:vertAlign w:val="baseline"/>
                <w:lang w:val="en-US" w:eastAsia="zh-CN"/>
              </w:rPr>
            </w:pPr>
          </w:p>
        </w:tc>
        <w:tc>
          <w:tcPr>
            <w:tcW w:w="5348" w:type="dxa"/>
            <w:tcBorders>
              <w:tl2br w:val="nil"/>
              <w:tr2bl w:val="nil"/>
            </w:tcBorders>
            <w:noWrap w:val="0"/>
            <w:vAlign w:val="center"/>
          </w:tcPr>
          <w:p w14:paraId="091E14A6">
            <w:pPr>
              <w:jc w:val="center"/>
              <w:rPr>
                <w:rFonts w:hint="default" w:ascii="宋体" w:hAnsi="宋体" w:cs="宋体"/>
                <w:sz w:val="21"/>
                <w:szCs w:val="21"/>
                <w:vertAlign w:val="baseline"/>
                <w:lang w:val="en-US" w:eastAsia="zh-CN"/>
              </w:rPr>
            </w:pPr>
          </w:p>
        </w:tc>
        <w:tc>
          <w:tcPr>
            <w:tcW w:w="2018" w:type="dxa"/>
            <w:tcBorders>
              <w:tl2br w:val="nil"/>
              <w:tr2bl w:val="nil"/>
            </w:tcBorders>
            <w:noWrap w:val="0"/>
            <w:vAlign w:val="center"/>
          </w:tcPr>
          <w:p w14:paraId="3872B902">
            <w:pPr>
              <w:jc w:val="center"/>
              <w:rPr>
                <w:rFonts w:hint="default" w:ascii="宋体" w:hAnsi="宋体" w:cs="宋体"/>
                <w:sz w:val="21"/>
                <w:szCs w:val="21"/>
                <w:vertAlign w:val="baseline"/>
                <w:lang w:val="en-US" w:eastAsia="zh-CN"/>
              </w:rPr>
            </w:pPr>
          </w:p>
        </w:tc>
      </w:tr>
    </w:tbl>
    <w:p w14:paraId="1D0C3824">
      <w:pPr>
        <w:topLinePunct/>
        <w:spacing w:line="440" w:lineRule="exact"/>
        <w:ind w:firstLine="420" w:firstLineChars="200"/>
        <w:rPr>
          <w:rFonts w:ascii="Times New Roman" w:hAnsi="Times New Roman"/>
          <w:color w:val="000000"/>
        </w:rPr>
      </w:pPr>
    </w:p>
    <w:p w14:paraId="248381CE">
      <w:pPr>
        <w:topLinePunct/>
        <w:spacing w:line="440" w:lineRule="exact"/>
        <w:ind w:firstLine="400" w:firstLineChars="200"/>
        <w:rPr>
          <w:rFonts w:ascii="Times New Roman" w:hAnsi="Times New Roman"/>
          <w:sz w:val="20"/>
        </w:rPr>
      </w:pPr>
    </w:p>
    <w:p w14:paraId="0444C303">
      <w:pPr>
        <w:rPr>
          <w:rFonts w:ascii="Times New Roman" w:hAnsi="Times New Roman"/>
        </w:rPr>
      </w:pPr>
      <w:r>
        <w:rPr>
          <w:rFonts w:ascii="Times New Roman" w:hAnsi="Times New Roman"/>
        </w:rPr>
        <w:br w:type="page"/>
      </w:r>
    </w:p>
    <w:p w14:paraId="1377E695">
      <w:pPr>
        <w:keepNext w:val="0"/>
        <w:keepLines w:val="0"/>
        <w:pageBreakBefore w:val="0"/>
        <w:widowControl w:val="0"/>
        <w:kinsoku/>
        <w:wordWrap/>
        <w:overflowPunct/>
        <w:topLinePunct w:val="0"/>
        <w:autoSpaceDE/>
        <w:autoSpaceDN/>
        <w:bidi w:val="0"/>
        <w:adjustRightInd/>
        <w:snapToGrid/>
        <w:spacing w:before="120" w:beforeLines="50" w:after="120" w:afterLines="50" w:line="440" w:lineRule="exact"/>
        <w:ind w:left="0" w:firstLine="0" w:firstLineChars="0"/>
        <w:jc w:val="center"/>
        <w:textAlignment w:val="auto"/>
        <w:outlineLvl w:val="1"/>
        <w:rPr>
          <w:rFonts w:hint="eastAsia" w:ascii="黑体" w:hAnsi="宋体" w:eastAsia="黑体"/>
          <w:sz w:val="24"/>
        </w:rPr>
      </w:pPr>
      <w:bookmarkStart w:id="469" w:name="_Toc13428"/>
      <w:bookmarkStart w:id="470" w:name="_Toc31716"/>
      <w:bookmarkStart w:id="471" w:name="_Toc18828"/>
      <w:r>
        <w:rPr>
          <w:rFonts w:hint="eastAsia" w:ascii="黑体" w:hAnsi="宋体" w:eastAsia="黑体" w:cs="Times New Roman"/>
          <w:sz w:val="24"/>
        </w:rPr>
        <w:t>（三）近年完成的类似项目情况表</w:t>
      </w:r>
      <w:bookmarkEnd w:id="469"/>
      <w:bookmarkEnd w:id="470"/>
      <w:bookmarkEnd w:id="471"/>
    </w:p>
    <w:tbl>
      <w:tblPr>
        <w:tblStyle w:val="2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45"/>
        <w:gridCol w:w="6411"/>
      </w:tblGrid>
      <w:tr w14:paraId="1EE20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446" w:type="dxa"/>
            <w:tcBorders>
              <w:tl2br w:val="nil"/>
              <w:tr2bl w:val="nil"/>
            </w:tcBorders>
            <w:noWrap w:val="0"/>
            <w:vAlign w:val="center"/>
          </w:tcPr>
          <w:p w14:paraId="2DED8BD5">
            <w:pPr>
              <w:jc w:val="center"/>
              <w:rPr>
                <w:rFonts w:hint="default" w:ascii="宋体" w:hAnsi="宋体" w:cs="宋体"/>
                <w:sz w:val="21"/>
                <w:szCs w:val="21"/>
                <w:highlight w:val="none"/>
                <w:vertAlign w:val="baseline"/>
                <w:lang w:val="en-US" w:eastAsia="zh-CN"/>
              </w:rPr>
            </w:pPr>
            <w:r>
              <w:rPr>
                <w:rFonts w:hint="eastAsia" w:ascii="宋体" w:hAnsi="宋体" w:cs="宋体"/>
                <w:sz w:val="21"/>
                <w:szCs w:val="21"/>
                <w:highlight w:val="none"/>
                <w:vertAlign w:val="baseline"/>
                <w:lang w:val="en-US" w:eastAsia="zh-CN"/>
              </w:rPr>
              <w:t>项目名称</w:t>
            </w:r>
          </w:p>
        </w:tc>
        <w:tc>
          <w:tcPr>
            <w:tcW w:w="6414" w:type="dxa"/>
            <w:tcBorders>
              <w:tl2br w:val="nil"/>
              <w:tr2bl w:val="nil"/>
            </w:tcBorders>
            <w:noWrap w:val="0"/>
            <w:vAlign w:val="center"/>
          </w:tcPr>
          <w:p w14:paraId="0E673B44">
            <w:pPr>
              <w:jc w:val="left"/>
              <w:rPr>
                <w:rFonts w:hint="default" w:ascii="宋体" w:hAnsi="宋体" w:cs="宋体"/>
                <w:sz w:val="21"/>
                <w:szCs w:val="21"/>
                <w:vertAlign w:val="baseline"/>
                <w:lang w:val="en-US" w:eastAsia="zh-CN"/>
              </w:rPr>
            </w:pPr>
          </w:p>
        </w:tc>
      </w:tr>
      <w:tr w14:paraId="552B4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446" w:type="dxa"/>
            <w:tcBorders>
              <w:tl2br w:val="nil"/>
              <w:tr2bl w:val="nil"/>
            </w:tcBorders>
            <w:noWrap w:val="0"/>
            <w:vAlign w:val="center"/>
          </w:tcPr>
          <w:p w14:paraId="462F800A">
            <w:pPr>
              <w:jc w:val="center"/>
              <w:rPr>
                <w:rFonts w:hint="default" w:ascii="宋体" w:hAnsi="宋体" w:cs="宋体"/>
                <w:sz w:val="21"/>
                <w:szCs w:val="21"/>
                <w:highlight w:val="none"/>
                <w:vertAlign w:val="baseline"/>
                <w:lang w:val="en-US" w:eastAsia="zh-CN"/>
              </w:rPr>
            </w:pPr>
            <w:r>
              <w:rPr>
                <w:rFonts w:hint="eastAsia" w:ascii="宋体" w:hAnsi="宋体" w:cs="宋体"/>
                <w:sz w:val="21"/>
                <w:szCs w:val="21"/>
                <w:highlight w:val="none"/>
                <w:vertAlign w:val="baseline"/>
                <w:lang w:val="en-US" w:eastAsia="zh-CN"/>
              </w:rPr>
              <w:t>项目所在地</w:t>
            </w:r>
          </w:p>
        </w:tc>
        <w:tc>
          <w:tcPr>
            <w:tcW w:w="6414" w:type="dxa"/>
            <w:tcBorders>
              <w:tl2br w:val="nil"/>
              <w:tr2bl w:val="nil"/>
            </w:tcBorders>
            <w:noWrap w:val="0"/>
            <w:vAlign w:val="center"/>
          </w:tcPr>
          <w:p w14:paraId="5BF86B0E">
            <w:pPr>
              <w:jc w:val="left"/>
              <w:rPr>
                <w:rFonts w:hint="default" w:ascii="宋体" w:hAnsi="宋体" w:cs="宋体"/>
                <w:sz w:val="21"/>
                <w:szCs w:val="21"/>
                <w:vertAlign w:val="baseline"/>
                <w:lang w:val="en-US" w:eastAsia="zh-CN"/>
              </w:rPr>
            </w:pPr>
          </w:p>
        </w:tc>
      </w:tr>
      <w:tr w14:paraId="04E2A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446" w:type="dxa"/>
            <w:tcBorders>
              <w:tl2br w:val="nil"/>
              <w:tr2bl w:val="nil"/>
            </w:tcBorders>
            <w:noWrap w:val="0"/>
            <w:vAlign w:val="center"/>
          </w:tcPr>
          <w:p w14:paraId="001F0BFC">
            <w:pPr>
              <w:jc w:val="center"/>
              <w:rPr>
                <w:rFonts w:hint="default" w:ascii="宋体" w:hAnsi="宋体" w:cs="宋体"/>
                <w:sz w:val="21"/>
                <w:szCs w:val="21"/>
                <w:highlight w:val="none"/>
                <w:vertAlign w:val="baseline"/>
                <w:lang w:val="en-US" w:eastAsia="zh-CN"/>
              </w:rPr>
            </w:pPr>
            <w:r>
              <w:rPr>
                <w:rFonts w:hint="eastAsia" w:ascii="宋体" w:hAnsi="宋体" w:cs="宋体"/>
                <w:sz w:val="21"/>
                <w:szCs w:val="21"/>
                <w:highlight w:val="none"/>
                <w:vertAlign w:val="baseline"/>
                <w:lang w:val="en-US" w:eastAsia="zh-CN"/>
              </w:rPr>
              <w:t>发包人名称</w:t>
            </w:r>
          </w:p>
        </w:tc>
        <w:tc>
          <w:tcPr>
            <w:tcW w:w="6414" w:type="dxa"/>
            <w:tcBorders>
              <w:tl2br w:val="nil"/>
              <w:tr2bl w:val="nil"/>
            </w:tcBorders>
            <w:noWrap w:val="0"/>
            <w:vAlign w:val="center"/>
          </w:tcPr>
          <w:p w14:paraId="529CF4F1">
            <w:pPr>
              <w:jc w:val="left"/>
              <w:rPr>
                <w:rFonts w:hint="default" w:ascii="宋体" w:hAnsi="宋体" w:cs="宋体"/>
                <w:sz w:val="21"/>
                <w:szCs w:val="21"/>
                <w:vertAlign w:val="baseline"/>
                <w:lang w:val="en-US" w:eastAsia="zh-CN"/>
              </w:rPr>
            </w:pPr>
          </w:p>
        </w:tc>
      </w:tr>
      <w:tr w14:paraId="4C948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446" w:type="dxa"/>
            <w:tcBorders>
              <w:tl2br w:val="nil"/>
              <w:tr2bl w:val="nil"/>
            </w:tcBorders>
            <w:noWrap w:val="0"/>
            <w:vAlign w:val="center"/>
          </w:tcPr>
          <w:p w14:paraId="091C349C">
            <w:pPr>
              <w:jc w:val="center"/>
              <w:rPr>
                <w:rFonts w:hint="default" w:ascii="宋体" w:hAnsi="宋体" w:cs="宋体"/>
                <w:sz w:val="21"/>
                <w:szCs w:val="21"/>
                <w:highlight w:val="none"/>
                <w:vertAlign w:val="baseline"/>
                <w:lang w:val="en-US" w:eastAsia="zh-CN"/>
              </w:rPr>
            </w:pPr>
            <w:r>
              <w:rPr>
                <w:rFonts w:hint="eastAsia" w:ascii="宋体" w:hAnsi="宋体" w:cs="宋体"/>
                <w:sz w:val="21"/>
                <w:szCs w:val="21"/>
                <w:highlight w:val="none"/>
                <w:vertAlign w:val="baseline"/>
                <w:lang w:val="en-US" w:eastAsia="zh-CN"/>
              </w:rPr>
              <w:t>发包人地址</w:t>
            </w:r>
          </w:p>
        </w:tc>
        <w:tc>
          <w:tcPr>
            <w:tcW w:w="6414" w:type="dxa"/>
            <w:tcBorders>
              <w:tl2br w:val="nil"/>
              <w:tr2bl w:val="nil"/>
            </w:tcBorders>
            <w:noWrap w:val="0"/>
            <w:vAlign w:val="center"/>
          </w:tcPr>
          <w:p w14:paraId="233B7173">
            <w:pPr>
              <w:jc w:val="left"/>
              <w:rPr>
                <w:rFonts w:hint="default" w:ascii="宋体" w:hAnsi="宋体" w:cs="宋体"/>
                <w:sz w:val="21"/>
                <w:szCs w:val="21"/>
                <w:vertAlign w:val="baseline"/>
                <w:lang w:val="en-US" w:eastAsia="zh-CN"/>
              </w:rPr>
            </w:pPr>
          </w:p>
        </w:tc>
      </w:tr>
      <w:tr w14:paraId="3D12F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446" w:type="dxa"/>
            <w:tcBorders>
              <w:tl2br w:val="nil"/>
              <w:tr2bl w:val="nil"/>
            </w:tcBorders>
            <w:noWrap w:val="0"/>
            <w:vAlign w:val="center"/>
          </w:tcPr>
          <w:p w14:paraId="3F651E22">
            <w:pPr>
              <w:jc w:val="center"/>
              <w:rPr>
                <w:rFonts w:hint="default" w:ascii="宋体" w:hAnsi="宋体" w:cs="宋体"/>
                <w:sz w:val="21"/>
                <w:szCs w:val="21"/>
                <w:highlight w:val="none"/>
                <w:vertAlign w:val="baseline"/>
                <w:lang w:val="en-US" w:eastAsia="zh-CN"/>
              </w:rPr>
            </w:pPr>
            <w:r>
              <w:rPr>
                <w:rFonts w:hint="eastAsia" w:ascii="宋体" w:hAnsi="宋体" w:cs="宋体"/>
                <w:sz w:val="21"/>
                <w:szCs w:val="21"/>
                <w:highlight w:val="none"/>
                <w:vertAlign w:val="baseline"/>
                <w:lang w:val="en-US" w:eastAsia="zh-CN"/>
              </w:rPr>
              <w:t>发包人联系人及电话</w:t>
            </w:r>
          </w:p>
        </w:tc>
        <w:tc>
          <w:tcPr>
            <w:tcW w:w="6414" w:type="dxa"/>
            <w:tcBorders>
              <w:tl2br w:val="nil"/>
              <w:tr2bl w:val="nil"/>
            </w:tcBorders>
            <w:noWrap w:val="0"/>
            <w:vAlign w:val="center"/>
          </w:tcPr>
          <w:p w14:paraId="6B295F2B">
            <w:pPr>
              <w:jc w:val="left"/>
              <w:rPr>
                <w:rFonts w:hint="default" w:ascii="宋体" w:hAnsi="宋体" w:cs="宋体"/>
                <w:sz w:val="21"/>
                <w:szCs w:val="21"/>
                <w:vertAlign w:val="baseline"/>
                <w:lang w:val="en-US" w:eastAsia="zh-CN"/>
              </w:rPr>
            </w:pPr>
          </w:p>
        </w:tc>
      </w:tr>
      <w:tr w14:paraId="5652C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446" w:type="dxa"/>
            <w:tcBorders>
              <w:tl2br w:val="nil"/>
              <w:tr2bl w:val="nil"/>
            </w:tcBorders>
            <w:noWrap w:val="0"/>
            <w:vAlign w:val="center"/>
          </w:tcPr>
          <w:p w14:paraId="270F1BBC">
            <w:pPr>
              <w:jc w:val="center"/>
              <w:rPr>
                <w:rFonts w:hint="default" w:ascii="宋体" w:hAnsi="宋体" w:cs="宋体"/>
                <w:sz w:val="21"/>
                <w:szCs w:val="21"/>
                <w:highlight w:val="none"/>
                <w:vertAlign w:val="baseline"/>
                <w:lang w:val="en-US" w:eastAsia="zh-CN"/>
              </w:rPr>
            </w:pPr>
            <w:r>
              <w:rPr>
                <w:rFonts w:hint="eastAsia" w:ascii="宋体" w:hAnsi="宋体" w:cs="宋体"/>
                <w:sz w:val="21"/>
                <w:szCs w:val="21"/>
                <w:highlight w:val="none"/>
                <w:vertAlign w:val="baseline"/>
                <w:lang w:val="en-US" w:eastAsia="zh-CN"/>
              </w:rPr>
              <w:t>合同价格</w:t>
            </w:r>
          </w:p>
        </w:tc>
        <w:tc>
          <w:tcPr>
            <w:tcW w:w="6414" w:type="dxa"/>
            <w:tcBorders>
              <w:tl2br w:val="nil"/>
              <w:tr2bl w:val="nil"/>
            </w:tcBorders>
            <w:noWrap w:val="0"/>
            <w:vAlign w:val="center"/>
          </w:tcPr>
          <w:p w14:paraId="3DF8F0BA">
            <w:pPr>
              <w:jc w:val="left"/>
              <w:rPr>
                <w:rFonts w:hint="default" w:ascii="宋体" w:hAnsi="宋体" w:cs="宋体"/>
                <w:sz w:val="21"/>
                <w:szCs w:val="21"/>
                <w:vertAlign w:val="baseline"/>
                <w:lang w:val="en-US" w:eastAsia="zh-CN"/>
              </w:rPr>
            </w:pPr>
          </w:p>
        </w:tc>
      </w:tr>
      <w:tr w14:paraId="3E893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446" w:type="dxa"/>
            <w:tcBorders>
              <w:tl2br w:val="nil"/>
              <w:tr2bl w:val="nil"/>
            </w:tcBorders>
            <w:noWrap w:val="0"/>
            <w:vAlign w:val="center"/>
          </w:tcPr>
          <w:p w14:paraId="5E3B882F">
            <w:pPr>
              <w:jc w:val="center"/>
              <w:rPr>
                <w:rFonts w:hint="default" w:ascii="宋体" w:hAnsi="宋体" w:cs="宋体"/>
                <w:sz w:val="21"/>
                <w:szCs w:val="21"/>
                <w:highlight w:val="none"/>
                <w:vertAlign w:val="baseline"/>
                <w:lang w:val="en-US" w:eastAsia="zh-CN"/>
              </w:rPr>
            </w:pPr>
            <w:r>
              <w:rPr>
                <w:rFonts w:hint="eastAsia" w:ascii="宋体" w:hAnsi="宋体" w:cs="宋体"/>
                <w:sz w:val="21"/>
                <w:szCs w:val="21"/>
                <w:highlight w:val="none"/>
                <w:vertAlign w:val="baseline"/>
                <w:lang w:val="en-US" w:eastAsia="zh-CN"/>
              </w:rPr>
              <w:t>项目经理</w:t>
            </w:r>
          </w:p>
        </w:tc>
        <w:tc>
          <w:tcPr>
            <w:tcW w:w="6414" w:type="dxa"/>
            <w:tcBorders>
              <w:tl2br w:val="nil"/>
              <w:tr2bl w:val="nil"/>
            </w:tcBorders>
            <w:noWrap w:val="0"/>
            <w:vAlign w:val="center"/>
          </w:tcPr>
          <w:p w14:paraId="6A614979">
            <w:pPr>
              <w:jc w:val="left"/>
              <w:rPr>
                <w:rFonts w:hint="default" w:ascii="宋体" w:hAnsi="宋体" w:cs="宋体"/>
                <w:sz w:val="21"/>
                <w:szCs w:val="21"/>
                <w:vertAlign w:val="baseline"/>
                <w:lang w:val="en-US" w:eastAsia="zh-CN"/>
              </w:rPr>
            </w:pPr>
          </w:p>
        </w:tc>
      </w:tr>
      <w:tr w14:paraId="4E807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446" w:type="dxa"/>
            <w:tcBorders>
              <w:tl2br w:val="nil"/>
              <w:tr2bl w:val="nil"/>
            </w:tcBorders>
            <w:noWrap w:val="0"/>
            <w:vAlign w:val="center"/>
          </w:tcPr>
          <w:p w14:paraId="1781AAF2">
            <w:pPr>
              <w:jc w:val="center"/>
              <w:rPr>
                <w:rFonts w:hint="default" w:ascii="宋体" w:hAnsi="宋体" w:cs="宋体"/>
                <w:sz w:val="21"/>
                <w:szCs w:val="21"/>
                <w:highlight w:val="none"/>
                <w:vertAlign w:val="baseline"/>
                <w:lang w:val="en-US" w:eastAsia="zh-CN"/>
              </w:rPr>
            </w:pPr>
            <w:r>
              <w:rPr>
                <w:rFonts w:hint="eastAsia" w:ascii="宋体" w:hAnsi="宋体" w:cs="宋体"/>
                <w:sz w:val="21"/>
                <w:szCs w:val="21"/>
                <w:highlight w:val="none"/>
                <w:vertAlign w:val="baseline"/>
                <w:lang w:val="en-US" w:eastAsia="zh-CN"/>
              </w:rPr>
              <w:t>备注</w:t>
            </w:r>
          </w:p>
        </w:tc>
        <w:tc>
          <w:tcPr>
            <w:tcW w:w="6414" w:type="dxa"/>
            <w:tcBorders>
              <w:tl2br w:val="nil"/>
              <w:tr2bl w:val="nil"/>
            </w:tcBorders>
            <w:noWrap w:val="0"/>
            <w:vAlign w:val="center"/>
          </w:tcPr>
          <w:p w14:paraId="562E4E88">
            <w:pPr>
              <w:jc w:val="left"/>
              <w:rPr>
                <w:rFonts w:hint="default" w:ascii="宋体" w:hAnsi="宋体" w:cs="宋体"/>
                <w:sz w:val="21"/>
                <w:szCs w:val="21"/>
                <w:vertAlign w:val="baseline"/>
                <w:lang w:val="en-US" w:eastAsia="zh-CN"/>
              </w:rPr>
            </w:pPr>
          </w:p>
        </w:tc>
      </w:tr>
    </w:tbl>
    <w:p w14:paraId="3C858AE1"/>
    <w:p w14:paraId="5BD79533">
      <w:pPr>
        <w:rPr>
          <w:rFonts w:hint="default"/>
          <w:lang w:val="en-US" w:eastAsia="zh-CN"/>
        </w:rPr>
      </w:pPr>
      <w:r>
        <w:rPr>
          <w:rFonts w:hint="eastAsia"/>
          <w:lang w:val="en-US" w:eastAsia="zh-CN"/>
        </w:rPr>
        <w:t>备注：本表应链接以下扫描件：业绩中标通知书,业绩合同协议书,工程竣工验收证书。</w:t>
      </w:r>
    </w:p>
    <w:p w14:paraId="11A7113A">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b/>
          <w:bCs/>
          <w:sz w:val="24"/>
          <w:szCs w:val="24"/>
          <w:vertAlign w:val="baseline"/>
          <w:lang w:val="en-US" w:eastAsia="zh-CN"/>
        </w:rPr>
      </w:pPr>
    </w:p>
    <w:p w14:paraId="22EA0D3F">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b/>
          <w:bCs/>
          <w:lang w:val="en-US" w:eastAsia="zh-CN"/>
        </w:rPr>
      </w:pPr>
      <w:r>
        <w:rPr>
          <w:rFonts w:hint="eastAsia" w:ascii="宋体" w:hAnsi="宋体" w:cs="宋体"/>
          <w:b/>
          <w:bCs/>
          <w:sz w:val="24"/>
          <w:szCs w:val="24"/>
          <w:vertAlign w:val="baseline"/>
          <w:lang w:val="en-US" w:eastAsia="zh-CN"/>
        </w:rPr>
        <w:t>附项目电子件：</w:t>
      </w:r>
    </w:p>
    <w:tbl>
      <w:tblPr>
        <w:tblStyle w:val="2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9"/>
        <w:gridCol w:w="6018"/>
        <w:gridCol w:w="1789"/>
      </w:tblGrid>
      <w:tr w14:paraId="2CD57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051" w:type="dxa"/>
            <w:tcBorders>
              <w:tl2br w:val="nil"/>
              <w:tr2bl w:val="nil"/>
            </w:tcBorders>
            <w:noWrap w:val="0"/>
            <w:vAlign w:val="center"/>
          </w:tcPr>
          <w:p w14:paraId="524458DD">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序号</w:t>
            </w:r>
          </w:p>
        </w:tc>
        <w:tc>
          <w:tcPr>
            <w:tcW w:w="6032" w:type="dxa"/>
            <w:tcBorders>
              <w:tl2br w:val="nil"/>
              <w:tr2bl w:val="nil"/>
            </w:tcBorders>
            <w:noWrap w:val="0"/>
            <w:vAlign w:val="center"/>
          </w:tcPr>
          <w:p w14:paraId="0EB02A45">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电子件名称</w:t>
            </w:r>
          </w:p>
        </w:tc>
        <w:tc>
          <w:tcPr>
            <w:tcW w:w="1792" w:type="dxa"/>
            <w:tcBorders>
              <w:tl2br w:val="nil"/>
              <w:tr2bl w:val="nil"/>
            </w:tcBorders>
            <w:noWrap w:val="0"/>
            <w:vAlign w:val="center"/>
          </w:tcPr>
          <w:p w14:paraId="0DACF5C4">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查看</w:t>
            </w:r>
          </w:p>
        </w:tc>
      </w:tr>
      <w:tr w14:paraId="6CFC5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051" w:type="dxa"/>
            <w:tcBorders>
              <w:tl2br w:val="nil"/>
              <w:tr2bl w:val="nil"/>
            </w:tcBorders>
            <w:noWrap w:val="0"/>
            <w:vAlign w:val="center"/>
          </w:tcPr>
          <w:p w14:paraId="2851B6D3">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1</w:t>
            </w:r>
          </w:p>
        </w:tc>
        <w:tc>
          <w:tcPr>
            <w:tcW w:w="6032" w:type="dxa"/>
            <w:tcBorders>
              <w:tl2br w:val="nil"/>
              <w:tr2bl w:val="nil"/>
            </w:tcBorders>
            <w:noWrap w:val="0"/>
            <w:vAlign w:val="center"/>
          </w:tcPr>
          <w:p w14:paraId="222BFE4A">
            <w:pPr>
              <w:jc w:val="left"/>
              <w:rPr>
                <w:rFonts w:hint="default" w:ascii="宋体" w:hAnsi="宋体" w:cs="宋体"/>
                <w:sz w:val="24"/>
                <w:szCs w:val="24"/>
                <w:vertAlign w:val="baseline"/>
                <w:lang w:val="en-US" w:eastAsia="zh-CN"/>
              </w:rPr>
            </w:pPr>
          </w:p>
        </w:tc>
        <w:tc>
          <w:tcPr>
            <w:tcW w:w="1792" w:type="dxa"/>
            <w:tcBorders>
              <w:tl2br w:val="nil"/>
              <w:tr2bl w:val="nil"/>
            </w:tcBorders>
            <w:noWrap w:val="0"/>
            <w:vAlign w:val="center"/>
          </w:tcPr>
          <w:p w14:paraId="44F48E0E">
            <w:pPr>
              <w:jc w:val="center"/>
              <w:rPr>
                <w:rFonts w:hint="default" w:ascii="宋体" w:hAnsi="宋体" w:cs="宋体"/>
                <w:sz w:val="24"/>
                <w:szCs w:val="24"/>
                <w:vertAlign w:val="baseline"/>
                <w:lang w:val="en-US" w:eastAsia="zh-CN"/>
              </w:rPr>
            </w:pPr>
          </w:p>
        </w:tc>
      </w:tr>
      <w:tr w14:paraId="33DD5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051" w:type="dxa"/>
            <w:tcBorders>
              <w:tl2br w:val="nil"/>
              <w:tr2bl w:val="nil"/>
            </w:tcBorders>
            <w:noWrap w:val="0"/>
            <w:vAlign w:val="center"/>
          </w:tcPr>
          <w:p w14:paraId="777627C7">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2</w:t>
            </w:r>
          </w:p>
        </w:tc>
        <w:tc>
          <w:tcPr>
            <w:tcW w:w="6032" w:type="dxa"/>
            <w:tcBorders>
              <w:tl2br w:val="nil"/>
              <w:tr2bl w:val="nil"/>
            </w:tcBorders>
            <w:noWrap w:val="0"/>
            <w:vAlign w:val="center"/>
          </w:tcPr>
          <w:p w14:paraId="20BFA315">
            <w:pPr>
              <w:jc w:val="left"/>
              <w:rPr>
                <w:rFonts w:hint="default" w:ascii="宋体" w:hAnsi="宋体" w:cs="宋体"/>
                <w:sz w:val="24"/>
                <w:szCs w:val="24"/>
                <w:vertAlign w:val="baseline"/>
                <w:lang w:val="en-US" w:eastAsia="zh-CN"/>
              </w:rPr>
            </w:pPr>
          </w:p>
        </w:tc>
        <w:tc>
          <w:tcPr>
            <w:tcW w:w="1792" w:type="dxa"/>
            <w:tcBorders>
              <w:tl2br w:val="nil"/>
              <w:tr2bl w:val="nil"/>
            </w:tcBorders>
            <w:noWrap w:val="0"/>
            <w:vAlign w:val="center"/>
          </w:tcPr>
          <w:p w14:paraId="6D2F6B29">
            <w:pPr>
              <w:jc w:val="center"/>
              <w:rPr>
                <w:rFonts w:hint="default" w:ascii="宋体" w:hAnsi="宋体" w:cs="宋体"/>
                <w:sz w:val="24"/>
                <w:szCs w:val="24"/>
                <w:vertAlign w:val="baseline"/>
                <w:lang w:val="en-US" w:eastAsia="zh-CN"/>
              </w:rPr>
            </w:pPr>
          </w:p>
        </w:tc>
      </w:tr>
      <w:tr w14:paraId="1CAFA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051" w:type="dxa"/>
            <w:tcBorders>
              <w:tl2br w:val="nil"/>
              <w:tr2bl w:val="nil"/>
            </w:tcBorders>
            <w:noWrap w:val="0"/>
            <w:vAlign w:val="center"/>
          </w:tcPr>
          <w:p w14:paraId="35B2ED85">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3</w:t>
            </w:r>
          </w:p>
        </w:tc>
        <w:tc>
          <w:tcPr>
            <w:tcW w:w="6032" w:type="dxa"/>
            <w:tcBorders>
              <w:tl2br w:val="nil"/>
              <w:tr2bl w:val="nil"/>
            </w:tcBorders>
            <w:noWrap w:val="0"/>
            <w:vAlign w:val="center"/>
          </w:tcPr>
          <w:p w14:paraId="2260EA0D">
            <w:pPr>
              <w:jc w:val="left"/>
              <w:rPr>
                <w:rFonts w:hint="default" w:ascii="宋体" w:hAnsi="宋体" w:cs="宋体"/>
                <w:sz w:val="24"/>
                <w:szCs w:val="24"/>
                <w:vertAlign w:val="baseline"/>
                <w:lang w:val="en-US" w:eastAsia="zh-CN"/>
              </w:rPr>
            </w:pPr>
          </w:p>
        </w:tc>
        <w:tc>
          <w:tcPr>
            <w:tcW w:w="1792" w:type="dxa"/>
            <w:tcBorders>
              <w:tl2br w:val="nil"/>
              <w:tr2bl w:val="nil"/>
            </w:tcBorders>
            <w:noWrap w:val="0"/>
            <w:vAlign w:val="center"/>
          </w:tcPr>
          <w:p w14:paraId="7D0964F8">
            <w:pPr>
              <w:jc w:val="center"/>
              <w:rPr>
                <w:rFonts w:hint="default" w:ascii="宋体" w:hAnsi="宋体" w:cs="宋体"/>
                <w:sz w:val="24"/>
                <w:szCs w:val="24"/>
                <w:vertAlign w:val="baseline"/>
                <w:lang w:val="en-US" w:eastAsia="zh-CN"/>
              </w:rPr>
            </w:pPr>
          </w:p>
        </w:tc>
      </w:tr>
    </w:tbl>
    <w:p w14:paraId="41620364">
      <w:pPr>
        <w:spacing w:line="440" w:lineRule="exact"/>
        <w:rPr>
          <w:rFonts w:ascii="Times New Roman" w:hAnsi="Times New Roman"/>
        </w:rPr>
      </w:pPr>
      <w:r>
        <w:rPr>
          <w:rFonts w:ascii="宋体" w:hAnsi="宋体"/>
          <w:szCs w:val="21"/>
        </w:rPr>
        <w:br w:type="page"/>
      </w:r>
    </w:p>
    <w:bookmarkEnd w:id="461"/>
    <w:p w14:paraId="57F1D43A">
      <w:pPr>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outlineLvl w:val="1"/>
        <w:rPr>
          <w:rFonts w:hint="eastAsia" w:ascii="黑体" w:hAnsi="宋体" w:eastAsia="黑体"/>
          <w:sz w:val="24"/>
        </w:rPr>
      </w:pPr>
      <w:bookmarkStart w:id="472" w:name="_Toc21740"/>
      <w:bookmarkStart w:id="473" w:name="_Toc13962"/>
      <w:bookmarkStart w:id="474" w:name="_Toc31217"/>
      <w:r>
        <w:rPr>
          <w:rFonts w:hint="eastAsia" w:ascii="黑体" w:hAnsi="宋体" w:eastAsia="黑体" w:cs="Times New Roman"/>
          <w:sz w:val="24"/>
        </w:rPr>
        <w:t>（四）正在</w:t>
      </w:r>
      <w:r>
        <w:rPr>
          <w:rFonts w:hint="eastAsia" w:ascii="黑体" w:hAnsi="宋体" w:eastAsia="黑体" w:cs="Times New Roman"/>
          <w:sz w:val="24"/>
          <w:lang w:val="en-US" w:eastAsia="zh-CN"/>
        </w:rPr>
        <w:t>供货</w:t>
      </w:r>
      <w:r>
        <w:rPr>
          <w:rFonts w:hint="eastAsia" w:ascii="黑体" w:hAnsi="宋体" w:eastAsia="黑体" w:cs="Times New Roman"/>
          <w:sz w:val="24"/>
        </w:rPr>
        <w:t>的和新承接的项目情况表</w:t>
      </w:r>
      <w:bookmarkEnd w:id="472"/>
      <w:bookmarkEnd w:id="473"/>
      <w:bookmarkEnd w:id="474"/>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62"/>
        <w:gridCol w:w="6294"/>
      </w:tblGrid>
      <w:tr w14:paraId="6DCFD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2730" w:type="dxa"/>
            <w:tcBorders>
              <w:tl2br w:val="nil"/>
              <w:tr2bl w:val="nil"/>
            </w:tcBorders>
            <w:noWrap w:val="0"/>
            <w:vAlign w:val="center"/>
          </w:tcPr>
          <w:p w14:paraId="0B0F0112">
            <w:pPr>
              <w:jc w:val="center"/>
              <w:rPr>
                <w:rFonts w:hint="default" w:ascii="宋体" w:hAnsi="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项目名称</w:t>
            </w:r>
          </w:p>
        </w:tc>
        <w:tc>
          <w:tcPr>
            <w:tcW w:w="6780" w:type="dxa"/>
            <w:tcBorders>
              <w:tl2br w:val="nil"/>
              <w:tr2bl w:val="nil"/>
            </w:tcBorders>
            <w:noWrap w:val="0"/>
            <w:vAlign w:val="center"/>
          </w:tcPr>
          <w:p w14:paraId="0BFA6A8F">
            <w:pPr>
              <w:jc w:val="left"/>
              <w:rPr>
                <w:rFonts w:hint="default" w:ascii="宋体" w:hAnsi="宋体" w:cs="宋体"/>
                <w:sz w:val="24"/>
                <w:szCs w:val="24"/>
                <w:highlight w:val="yellow"/>
                <w:vertAlign w:val="baseline"/>
                <w:lang w:val="en-US" w:eastAsia="zh-CN"/>
              </w:rPr>
            </w:pPr>
          </w:p>
        </w:tc>
      </w:tr>
      <w:tr w14:paraId="5BE2E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2730" w:type="dxa"/>
            <w:tcBorders>
              <w:tl2br w:val="nil"/>
              <w:tr2bl w:val="nil"/>
            </w:tcBorders>
            <w:noWrap w:val="0"/>
            <w:vAlign w:val="center"/>
          </w:tcPr>
          <w:p w14:paraId="694A4D80">
            <w:pPr>
              <w:jc w:val="center"/>
              <w:rPr>
                <w:rFonts w:hint="default" w:ascii="宋体" w:hAnsi="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项目所在地</w:t>
            </w:r>
          </w:p>
        </w:tc>
        <w:tc>
          <w:tcPr>
            <w:tcW w:w="6780" w:type="dxa"/>
            <w:tcBorders>
              <w:tl2br w:val="nil"/>
              <w:tr2bl w:val="nil"/>
            </w:tcBorders>
            <w:noWrap w:val="0"/>
            <w:vAlign w:val="center"/>
          </w:tcPr>
          <w:p w14:paraId="2FEB2C8D">
            <w:pPr>
              <w:jc w:val="left"/>
              <w:rPr>
                <w:rFonts w:hint="default" w:ascii="宋体" w:hAnsi="宋体" w:cs="宋体"/>
                <w:sz w:val="24"/>
                <w:szCs w:val="24"/>
                <w:highlight w:val="yellow"/>
                <w:vertAlign w:val="baseline"/>
                <w:lang w:val="en-US" w:eastAsia="zh-CN"/>
              </w:rPr>
            </w:pPr>
          </w:p>
        </w:tc>
      </w:tr>
      <w:tr w14:paraId="63F72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2730" w:type="dxa"/>
            <w:tcBorders>
              <w:tl2br w:val="nil"/>
              <w:tr2bl w:val="nil"/>
            </w:tcBorders>
            <w:noWrap w:val="0"/>
            <w:vAlign w:val="center"/>
          </w:tcPr>
          <w:p w14:paraId="15AB6C80">
            <w:pPr>
              <w:jc w:val="center"/>
              <w:rPr>
                <w:rFonts w:hint="default" w:ascii="宋体" w:hAnsi="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发包人名称</w:t>
            </w:r>
          </w:p>
        </w:tc>
        <w:tc>
          <w:tcPr>
            <w:tcW w:w="6780" w:type="dxa"/>
            <w:tcBorders>
              <w:tl2br w:val="nil"/>
              <w:tr2bl w:val="nil"/>
            </w:tcBorders>
            <w:noWrap w:val="0"/>
            <w:vAlign w:val="center"/>
          </w:tcPr>
          <w:p w14:paraId="7C9A1931">
            <w:pPr>
              <w:jc w:val="left"/>
              <w:rPr>
                <w:rFonts w:hint="default" w:ascii="宋体" w:hAnsi="宋体" w:cs="宋体"/>
                <w:sz w:val="24"/>
                <w:szCs w:val="24"/>
                <w:highlight w:val="yellow"/>
                <w:vertAlign w:val="baseline"/>
                <w:lang w:val="en-US" w:eastAsia="zh-CN"/>
              </w:rPr>
            </w:pPr>
          </w:p>
        </w:tc>
      </w:tr>
      <w:tr w14:paraId="02C96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2730" w:type="dxa"/>
            <w:tcBorders>
              <w:tl2br w:val="nil"/>
              <w:tr2bl w:val="nil"/>
            </w:tcBorders>
            <w:noWrap w:val="0"/>
            <w:vAlign w:val="center"/>
          </w:tcPr>
          <w:p w14:paraId="60EDC909">
            <w:pPr>
              <w:jc w:val="center"/>
              <w:rPr>
                <w:rFonts w:hint="default" w:ascii="宋体" w:hAnsi="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发包人地址</w:t>
            </w:r>
          </w:p>
        </w:tc>
        <w:tc>
          <w:tcPr>
            <w:tcW w:w="6780" w:type="dxa"/>
            <w:tcBorders>
              <w:tl2br w:val="nil"/>
              <w:tr2bl w:val="nil"/>
            </w:tcBorders>
            <w:noWrap w:val="0"/>
            <w:vAlign w:val="center"/>
          </w:tcPr>
          <w:p w14:paraId="513319DB">
            <w:pPr>
              <w:jc w:val="left"/>
              <w:rPr>
                <w:rFonts w:hint="default" w:ascii="宋体" w:hAnsi="宋体" w:cs="宋体"/>
                <w:sz w:val="24"/>
                <w:szCs w:val="24"/>
                <w:highlight w:val="yellow"/>
                <w:vertAlign w:val="baseline"/>
                <w:lang w:val="en-US" w:eastAsia="zh-CN"/>
              </w:rPr>
            </w:pPr>
          </w:p>
        </w:tc>
      </w:tr>
      <w:tr w14:paraId="7A14E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exact"/>
        </w:trPr>
        <w:tc>
          <w:tcPr>
            <w:tcW w:w="2730" w:type="dxa"/>
            <w:tcBorders>
              <w:tl2br w:val="nil"/>
              <w:tr2bl w:val="nil"/>
            </w:tcBorders>
            <w:noWrap w:val="0"/>
            <w:vAlign w:val="center"/>
          </w:tcPr>
          <w:p w14:paraId="56549043">
            <w:pPr>
              <w:jc w:val="center"/>
              <w:rPr>
                <w:rFonts w:hint="default" w:ascii="宋体" w:hAnsi="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发包人联系人及电话</w:t>
            </w:r>
          </w:p>
        </w:tc>
        <w:tc>
          <w:tcPr>
            <w:tcW w:w="6780" w:type="dxa"/>
            <w:tcBorders>
              <w:tl2br w:val="nil"/>
              <w:tr2bl w:val="nil"/>
            </w:tcBorders>
            <w:noWrap w:val="0"/>
            <w:vAlign w:val="center"/>
          </w:tcPr>
          <w:p w14:paraId="6B657D3D">
            <w:pPr>
              <w:jc w:val="left"/>
              <w:rPr>
                <w:rFonts w:hint="default" w:ascii="宋体" w:hAnsi="宋体" w:cs="宋体"/>
                <w:sz w:val="24"/>
                <w:szCs w:val="24"/>
                <w:highlight w:val="yellow"/>
                <w:vertAlign w:val="baseline"/>
                <w:lang w:val="en-US" w:eastAsia="zh-CN"/>
              </w:rPr>
            </w:pPr>
          </w:p>
        </w:tc>
      </w:tr>
      <w:tr w14:paraId="247CD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2730" w:type="dxa"/>
            <w:tcBorders>
              <w:tl2br w:val="nil"/>
              <w:tr2bl w:val="nil"/>
            </w:tcBorders>
            <w:noWrap w:val="0"/>
            <w:vAlign w:val="center"/>
          </w:tcPr>
          <w:p w14:paraId="650494BE">
            <w:pPr>
              <w:jc w:val="center"/>
              <w:rPr>
                <w:rFonts w:hint="default" w:ascii="宋体" w:hAnsi="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合同价格</w:t>
            </w:r>
          </w:p>
        </w:tc>
        <w:tc>
          <w:tcPr>
            <w:tcW w:w="6780" w:type="dxa"/>
            <w:tcBorders>
              <w:tl2br w:val="nil"/>
              <w:tr2bl w:val="nil"/>
            </w:tcBorders>
            <w:noWrap w:val="0"/>
            <w:vAlign w:val="center"/>
          </w:tcPr>
          <w:p w14:paraId="5B15A7B0">
            <w:pPr>
              <w:jc w:val="left"/>
              <w:rPr>
                <w:rFonts w:hint="default" w:ascii="宋体" w:hAnsi="宋体" w:cs="宋体"/>
                <w:sz w:val="24"/>
                <w:szCs w:val="24"/>
                <w:highlight w:val="yellow"/>
                <w:vertAlign w:val="baseline"/>
                <w:lang w:val="en-US" w:eastAsia="zh-CN"/>
              </w:rPr>
            </w:pPr>
          </w:p>
        </w:tc>
      </w:tr>
      <w:tr w14:paraId="1FC34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2730" w:type="dxa"/>
            <w:tcBorders>
              <w:tl2br w:val="nil"/>
              <w:tr2bl w:val="nil"/>
            </w:tcBorders>
            <w:noWrap w:val="0"/>
            <w:vAlign w:val="center"/>
          </w:tcPr>
          <w:p w14:paraId="6133FD67">
            <w:pPr>
              <w:jc w:val="center"/>
              <w:rPr>
                <w:rFonts w:hint="default" w:ascii="宋体" w:hAnsi="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项目经理</w:t>
            </w:r>
          </w:p>
        </w:tc>
        <w:tc>
          <w:tcPr>
            <w:tcW w:w="6780" w:type="dxa"/>
            <w:tcBorders>
              <w:tl2br w:val="nil"/>
              <w:tr2bl w:val="nil"/>
            </w:tcBorders>
            <w:noWrap w:val="0"/>
            <w:vAlign w:val="center"/>
          </w:tcPr>
          <w:p w14:paraId="3203A889">
            <w:pPr>
              <w:jc w:val="left"/>
              <w:rPr>
                <w:rFonts w:hint="default" w:ascii="宋体" w:hAnsi="宋体" w:cs="宋体"/>
                <w:sz w:val="24"/>
                <w:szCs w:val="24"/>
                <w:vertAlign w:val="baseline"/>
                <w:lang w:val="en-US" w:eastAsia="zh-CN"/>
              </w:rPr>
            </w:pPr>
          </w:p>
        </w:tc>
      </w:tr>
      <w:tr w14:paraId="026F9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2730" w:type="dxa"/>
            <w:tcBorders>
              <w:tl2br w:val="nil"/>
              <w:tr2bl w:val="nil"/>
            </w:tcBorders>
            <w:noWrap w:val="0"/>
            <w:vAlign w:val="center"/>
          </w:tcPr>
          <w:p w14:paraId="57997583">
            <w:pPr>
              <w:jc w:val="center"/>
              <w:rPr>
                <w:rFonts w:hint="default" w:ascii="宋体" w:hAnsi="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备注</w:t>
            </w:r>
          </w:p>
        </w:tc>
        <w:tc>
          <w:tcPr>
            <w:tcW w:w="6780" w:type="dxa"/>
            <w:tcBorders>
              <w:tl2br w:val="nil"/>
              <w:tr2bl w:val="nil"/>
            </w:tcBorders>
            <w:noWrap w:val="0"/>
            <w:vAlign w:val="center"/>
          </w:tcPr>
          <w:p w14:paraId="1F4A4758">
            <w:pPr>
              <w:jc w:val="left"/>
              <w:rPr>
                <w:rFonts w:hint="default" w:ascii="宋体" w:hAnsi="宋体" w:cs="宋体"/>
                <w:sz w:val="24"/>
                <w:szCs w:val="24"/>
                <w:vertAlign w:val="baseline"/>
                <w:lang w:val="en-US" w:eastAsia="zh-CN"/>
              </w:rPr>
            </w:pPr>
          </w:p>
        </w:tc>
      </w:tr>
    </w:tbl>
    <w:p w14:paraId="5F0A5AB4"/>
    <w:p w14:paraId="4253B110">
      <w:pPr>
        <w:rPr>
          <w:rFonts w:hint="default"/>
          <w:lang w:val="en-US" w:eastAsia="zh-CN"/>
        </w:rPr>
      </w:pPr>
      <w:r>
        <w:rPr>
          <w:rFonts w:hint="eastAsia"/>
          <w:lang w:val="en-US" w:eastAsia="zh-CN"/>
        </w:rPr>
        <w:t>备注：本表应链接以下扫描件：业绩中标通知书,业绩合同协议书。</w:t>
      </w:r>
    </w:p>
    <w:p w14:paraId="76FEA57E">
      <w:pPr>
        <w:rPr>
          <w:rFonts w:hint="eastAsia" w:ascii="宋体" w:hAnsi="宋体" w:cs="宋体"/>
          <w:b/>
          <w:bCs/>
          <w:sz w:val="24"/>
          <w:szCs w:val="24"/>
          <w:vertAlign w:val="baseline"/>
          <w:lang w:val="en-US" w:eastAsia="zh-CN"/>
        </w:rPr>
      </w:pPr>
    </w:p>
    <w:p w14:paraId="7FF5317C">
      <w:pPr>
        <w:rPr>
          <w:rFonts w:hint="eastAsia"/>
          <w:b/>
          <w:bCs/>
          <w:lang w:val="en-US" w:eastAsia="zh-CN"/>
        </w:rPr>
      </w:pPr>
      <w:r>
        <w:rPr>
          <w:rFonts w:hint="eastAsia" w:ascii="宋体" w:hAnsi="宋体" w:cs="宋体"/>
          <w:b/>
          <w:bCs/>
          <w:sz w:val="24"/>
          <w:szCs w:val="24"/>
          <w:vertAlign w:val="baseline"/>
          <w:lang w:val="en-US" w:eastAsia="zh-CN"/>
        </w:rPr>
        <w:t>附项目电子件：</w:t>
      </w:r>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4"/>
        <w:gridCol w:w="6135"/>
        <w:gridCol w:w="1817"/>
      </w:tblGrid>
      <w:tr w14:paraId="4E6E9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970" w:type="dxa"/>
            <w:tcBorders>
              <w:tl2br w:val="nil"/>
              <w:tr2bl w:val="nil"/>
            </w:tcBorders>
            <w:noWrap w:val="0"/>
            <w:vAlign w:val="center"/>
          </w:tcPr>
          <w:p w14:paraId="674A3ECA">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序号</w:t>
            </w:r>
          </w:p>
        </w:tc>
        <w:tc>
          <w:tcPr>
            <w:tcW w:w="6974" w:type="dxa"/>
            <w:tcBorders>
              <w:tl2br w:val="nil"/>
              <w:tr2bl w:val="nil"/>
            </w:tcBorders>
            <w:noWrap w:val="0"/>
            <w:vAlign w:val="center"/>
          </w:tcPr>
          <w:p w14:paraId="21AF10B9">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电子件名称</w:t>
            </w:r>
          </w:p>
        </w:tc>
        <w:tc>
          <w:tcPr>
            <w:tcW w:w="2018" w:type="dxa"/>
            <w:tcBorders>
              <w:tl2br w:val="nil"/>
              <w:tr2bl w:val="nil"/>
            </w:tcBorders>
            <w:noWrap w:val="0"/>
            <w:vAlign w:val="center"/>
          </w:tcPr>
          <w:p w14:paraId="0C38C5B4">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查看</w:t>
            </w:r>
          </w:p>
        </w:tc>
      </w:tr>
      <w:tr w14:paraId="16648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970" w:type="dxa"/>
            <w:tcBorders>
              <w:tl2br w:val="nil"/>
              <w:tr2bl w:val="nil"/>
            </w:tcBorders>
            <w:noWrap w:val="0"/>
            <w:vAlign w:val="center"/>
          </w:tcPr>
          <w:p w14:paraId="181BB940">
            <w:pPr>
              <w:jc w:val="center"/>
              <w:rPr>
                <w:rFonts w:hint="default" w:ascii="宋体" w:hAnsi="宋体" w:cs="宋体"/>
                <w:sz w:val="24"/>
                <w:szCs w:val="24"/>
                <w:vertAlign w:val="baseline"/>
                <w:lang w:val="en-US" w:eastAsia="zh-CN"/>
              </w:rPr>
            </w:pPr>
          </w:p>
        </w:tc>
        <w:tc>
          <w:tcPr>
            <w:tcW w:w="6974" w:type="dxa"/>
            <w:tcBorders>
              <w:tl2br w:val="nil"/>
              <w:tr2bl w:val="nil"/>
            </w:tcBorders>
            <w:noWrap w:val="0"/>
            <w:vAlign w:val="center"/>
          </w:tcPr>
          <w:p w14:paraId="1181A51F">
            <w:pPr>
              <w:jc w:val="left"/>
              <w:rPr>
                <w:rFonts w:hint="default" w:ascii="宋体" w:hAnsi="宋体" w:cs="宋体"/>
                <w:sz w:val="24"/>
                <w:szCs w:val="24"/>
                <w:vertAlign w:val="baseline"/>
                <w:lang w:val="en-US" w:eastAsia="zh-CN"/>
              </w:rPr>
            </w:pPr>
          </w:p>
        </w:tc>
        <w:tc>
          <w:tcPr>
            <w:tcW w:w="2018" w:type="dxa"/>
            <w:tcBorders>
              <w:tl2br w:val="nil"/>
              <w:tr2bl w:val="nil"/>
            </w:tcBorders>
            <w:noWrap w:val="0"/>
            <w:vAlign w:val="center"/>
          </w:tcPr>
          <w:p w14:paraId="5257B527">
            <w:pPr>
              <w:jc w:val="center"/>
              <w:rPr>
                <w:rFonts w:hint="default" w:ascii="宋体" w:hAnsi="宋体" w:cs="宋体"/>
                <w:sz w:val="24"/>
                <w:szCs w:val="24"/>
                <w:vertAlign w:val="baseline"/>
                <w:lang w:val="en-US" w:eastAsia="zh-CN"/>
              </w:rPr>
            </w:pPr>
          </w:p>
        </w:tc>
      </w:tr>
      <w:tr w14:paraId="55685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970" w:type="dxa"/>
            <w:tcBorders>
              <w:tl2br w:val="nil"/>
              <w:tr2bl w:val="nil"/>
            </w:tcBorders>
            <w:noWrap w:val="0"/>
            <w:vAlign w:val="center"/>
          </w:tcPr>
          <w:p w14:paraId="0FBF55B3">
            <w:pPr>
              <w:jc w:val="center"/>
              <w:rPr>
                <w:rFonts w:hint="default" w:ascii="宋体" w:hAnsi="宋体" w:cs="宋体"/>
                <w:sz w:val="24"/>
                <w:szCs w:val="24"/>
                <w:vertAlign w:val="baseline"/>
                <w:lang w:val="en-US" w:eastAsia="zh-CN"/>
              </w:rPr>
            </w:pPr>
          </w:p>
        </w:tc>
        <w:tc>
          <w:tcPr>
            <w:tcW w:w="6974" w:type="dxa"/>
            <w:tcBorders>
              <w:tl2br w:val="nil"/>
              <w:tr2bl w:val="nil"/>
            </w:tcBorders>
            <w:noWrap w:val="0"/>
            <w:vAlign w:val="center"/>
          </w:tcPr>
          <w:p w14:paraId="43A41C86">
            <w:pPr>
              <w:jc w:val="left"/>
              <w:rPr>
                <w:rFonts w:hint="default" w:ascii="宋体" w:hAnsi="宋体" w:cs="宋体"/>
                <w:sz w:val="24"/>
                <w:szCs w:val="24"/>
                <w:vertAlign w:val="baseline"/>
                <w:lang w:val="en-US" w:eastAsia="zh-CN"/>
              </w:rPr>
            </w:pPr>
          </w:p>
        </w:tc>
        <w:tc>
          <w:tcPr>
            <w:tcW w:w="2018" w:type="dxa"/>
            <w:tcBorders>
              <w:tl2br w:val="nil"/>
              <w:tr2bl w:val="nil"/>
            </w:tcBorders>
            <w:noWrap w:val="0"/>
            <w:vAlign w:val="center"/>
          </w:tcPr>
          <w:p w14:paraId="6924C176">
            <w:pPr>
              <w:jc w:val="center"/>
              <w:rPr>
                <w:rFonts w:hint="default" w:ascii="宋体" w:hAnsi="宋体" w:cs="宋体"/>
                <w:sz w:val="24"/>
                <w:szCs w:val="24"/>
                <w:vertAlign w:val="baseline"/>
                <w:lang w:val="en-US" w:eastAsia="zh-CN"/>
              </w:rPr>
            </w:pPr>
          </w:p>
        </w:tc>
      </w:tr>
    </w:tbl>
    <w:p w14:paraId="2873541C">
      <w:pPr>
        <w:spacing w:line="440" w:lineRule="exact"/>
        <w:ind w:firstLine="137"/>
        <w:outlineLvl w:val="9"/>
        <w:rPr>
          <w:rFonts w:ascii="Times New Roman" w:hAnsi="Times New Roman"/>
          <w:color w:val="000000"/>
        </w:rPr>
      </w:pPr>
      <w:r>
        <w:rPr>
          <w:rFonts w:ascii="宋体" w:hAnsi="宋体"/>
          <w:szCs w:val="21"/>
        </w:rPr>
        <w:br w:type="page"/>
      </w:r>
    </w:p>
    <w:p w14:paraId="55A63837">
      <w:pPr>
        <w:keepNext w:val="0"/>
        <w:keepLines w:val="0"/>
        <w:pageBreakBefore w:val="0"/>
        <w:widowControl w:val="0"/>
        <w:kinsoku/>
        <w:wordWrap/>
        <w:overflowPunct/>
        <w:topLinePunct w:val="0"/>
        <w:autoSpaceDE/>
        <w:autoSpaceDN/>
        <w:bidi w:val="0"/>
        <w:adjustRightInd/>
        <w:snapToGrid/>
        <w:spacing w:before="120" w:beforeLines="50" w:after="240" w:afterLines="100" w:line="360" w:lineRule="auto"/>
        <w:jc w:val="center"/>
        <w:textAlignment w:val="auto"/>
        <w:outlineLvl w:val="1"/>
        <w:rPr>
          <w:rFonts w:hint="default" w:ascii="黑体" w:hAnsi="宋体" w:eastAsia="黑体"/>
          <w:sz w:val="24"/>
          <w:lang w:val="en-US" w:eastAsia="zh-CN"/>
        </w:rPr>
      </w:pPr>
      <w:bookmarkStart w:id="475" w:name="_Toc10877"/>
      <w:bookmarkStart w:id="476" w:name="_Toc8144"/>
      <w:bookmarkStart w:id="477" w:name="_Toc23349"/>
      <w:bookmarkStart w:id="478" w:name="_Toc417894676"/>
      <w:bookmarkStart w:id="479" w:name="_Toc417894637"/>
      <w:bookmarkStart w:id="480" w:name="_Toc474741581"/>
      <w:r>
        <w:rPr>
          <w:rFonts w:hint="eastAsia" w:ascii="黑体" w:hAnsi="宋体" w:eastAsia="黑体"/>
          <w:sz w:val="24"/>
        </w:rPr>
        <w:t>（五）</w:t>
      </w:r>
      <w:r>
        <w:rPr>
          <w:rFonts w:hint="eastAsia" w:ascii="黑体" w:hAnsi="宋体" w:eastAsia="黑体"/>
          <w:sz w:val="24"/>
          <w:lang w:val="en-US" w:eastAsia="zh-CN"/>
        </w:rPr>
        <w:t>企业获奖</w:t>
      </w:r>
      <w:bookmarkEnd w:id="475"/>
      <w:bookmarkEnd w:id="476"/>
      <w:bookmarkEnd w:id="477"/>
    </w:p>
    <w:tbl>
      <w:tblPr>
        <w:tblStyle w:val="26"/>
        <w:tblW w:w="96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
        <w:gridCol w:w="6426"/>
        <w:gridCol w:w="2279"/>
      </w:tblGrid>
      <w:tr w14:paraId="20FCC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18" w:type="dxa"/>
            <w:tcBorders>
              <w:tl2br w:val="nil"/>
              <w:tr2bl w:val="nil"/>
            </w:tcBorders>
            <w:noWrap w:val="0"/>
            <w:vAlign w:val="center"/>
          </w:tcPr>
          <w:p w14:paraId="097773EE">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序号</w:t>
            </w:r>
          </w:p>
        </w:tc>
        <w:tc>
          <w:tcPr>
            <w:tcW w:w="6426" w:type="dxa"/>
            <w:tcBorders>
              <w:tl2br w:val="nil"/>
              <w:tr2bl w:val="nil"/>
            </w:tcBorders>
            <w:noWrap w:val="0"/>
            <w:vAlign w:val="center"/>
          </w:tcPr>
          <w:p w14:paraId="7CEC85A1">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电子件名称</w:t>
            </w:r>
          </w:p>
        </w:tc>
        <w:tc>
          <w:tcPr>
            <w:tcW w:w="2279" w:type="dxa"/>
            <w:tcBorders>
              <w:tl2br w:val="nil"/>
              <w:tr2bl w:val="nil"/>
            </w:tcBorders>
            <w:noWrap w:val="0"/>
            <w:vAlign w:val="center"/>
          </w:tcPr>
          <w:p w14:paraId="1B1B829F">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查看</w:t>
            </w:r>
          </w:p>
        </w:tc>
      </w:tr>
      <w:tr w14:paraId="7DEC5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18" w:type="dxa"/>
            <w:tcBorders>
              <w:tl2br w:val="nil"/>
              <w:tr2bl w:val="nil"/>
            </w:tcBorders>
            <w:noWrap w:val="0"/>
            <w:vAlign w:val="center"/>
          </w:tcPr>
          <w:p w14:paraId="5D272685">
            <w:pPr>
              <w:jc w:val="center"/>
              <w:rPr>
                <w:rFonts w:hint="default" w:ascii="宋体" w:hAnsi="宋体" w:cs="宋体"/>
                <w:sz w:val="21"/>
                <w:szCs w:val="21"/>
                <w:vertAlign w:val="baseline"/>
                <w:lang w:val="en-US" w:eastAsia="zh-CN"/>
              </w:rPr>
            </w:pPr>
          </w:p>
        </w:tc>
        <w:tc>
          <w:tcPr>
            <w:tcW w:w="6426" w:type="dxa"/>
            <w:tcBorders>
              <w:tl2br w:val="nil"/>
              <w:tr2bl w:val="nil"/>
            </w:tcBorders>
            <w:noWrap w:val="0"/>
            <w:vAlign w:val="center"/>
          </w:tcPr>
          <w:p w14:paraId="34FC1243">
            <w:pPr>
              <w:jc w:val="center"/>
              <w:rPr>
                <w:rFonts w:hint="default" w:ascii="宋体" w:hAnsi="宋体" w:cs="宋体"/>
                <w:sz w:val="21"/>
                <w:szCs w:val="21"/>
                <w:vertAlign w:val="baseline"/>
                <w:lang w:val="en-US" w:eastAsia="zh-CN"/>
              </w:rPr>
            </w:pPr>
          </w:p>
        </w:tc>
        <w:tc>
          <w:tcPr>
            <w:tcW w:w="2279" w:type="dxa"/>
            <w:tcBorders>
              <w:tl2br w:val="nil"/>
              <w:tr2bl w:val="nil"/>
            </w:tcBorders>
            <w:noWrap w:val="0"/>
            <w:vAlign w:val="center"/>
          </w:tcPr>
          <w:p w14:paraId="788DA06A">
            <w:pPr>
              <w:jc w:val="center"/>
              <w:rPr>
                <w:rFonts w:hint="default" w:ascii="宋体" w:hAnsi="宋体" w:cs="宋体"/>
                <w:sz w:val="21"/>
                <w:szCs w:val="21"/>
                <w:vertAlign w:val="baseline"/>
                <w:lang w:val="en-US" w:eastAsia="zh-CN"/>
              </w:rPr>
            </w:pPr>
          </w:p>
        </w:tc>
      </w:tr>
    </w:tbl>
    <w:p w14:paraId="6103BB5C">
      <w:pPr>
        <w:keepNext w:val="0"/>
        <w:keepLines w:val="0"/>
        <w:pageBreakBefore w:val="0"/>
        <w:widowControl w:val="0"/>
        <w:kinsoku/>
        <w:wordWrap/>
        <w:overflowPunct/>
        <w:topLinePunct w:val="0"/>
        <w:autoSpaceDE/>
        <w:autoSpaceDN/>
        <w:bidi w:val="0"/>
        <w:adjustRightInd/>
        <w:snapToGrid/>
        <w:spacing w:before="120" w:beforeLines="50" w:after="120" w:afterLines="50" w:line="360" w:lineRule="auto"/>
        <w:ind w:left="0" w:firstLine="0" w:firstLineChars="0"/>
        <w:jc w:val="center"/>
        <w:textAlignment w:val="auto"/>
        <w:outlineLvl w:val="1"/>
        <w:rPr>
          <w:rFonts w:hint="default" w:ascii="黑体" w:hAnsi="宋体" w:eastAsia="黑体"/>
          <w:sz w:val="24"/>
          <w:lang w:val="en-US" w:eastAsia="zh-CN"/>
        </w:rPr>
      </w:pPr>
      <w:r>
        <w:rPr>
          <w:rFonts w:ascii="宋体" w:hAnsi="宋体"/>
          <w:szCs w:val="21"/>
        </w:rPr>
        <w:br w:type="page"/>
      </w:r>
      <w:bookmarkStart w:id="481" w:name="_Toc19181"/>
      <w:bookmarkStart w:id="482" w:name="_Toc22112"/>
      <w:bookmarkStart w:id="483" w:name="_Toc4928"/>
      <w:r>
        <w:rPr>
          <w:rFonts w:hint="eastAsia" w:ascii="黑体" w:hAnsi="宋体" w:eastAsia="黑体"/>
          <w:sz w:val="24"/>
        </w:rPr>
        <w:t>（六）企业</w:t>
      </w:r>
      <w:r>
        <w:rPr>
          <w:rFonts w:hint="eastAsia" w:ascii="黑体" w:hAnsi="宋体" w:eastAsia="黑体"/>
          <w:sz w:val="24"/>
          <w:lang w:val="en-US" w:eastAsia="zh-CN"/>
        </w:rPr>
        <w:t>各类证书</w:t>
      </w:r>
      <w:bookmarkEnd w:id="481"/>
      <w:bookmarkEnd w:id="482"/>
      <w:bookmarkEnd w:id="483"/>
    </w:p>
    <w:tbl>
      <w:tblPr>
        <w:tblStyle w:val="26"/>
        <w:tblW w:w="97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6426"/>
        <w:gridCol w:w="2309"/>
      </w:tblGrid>
      <w:tr w14:paraId="1B8E9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70" w:type="dxa"/>
            <w:tcBorders>
              <w:tl2br w:val="nil"/>
              <w:tr2bl w:val="nil"/>
            </w:tcBorders>
            <w:noWrap w:val="0"/>
            <w:vAlign w:val="center"/>
          </w:tcPr>
          <w:p w14:paraId="216E026B">
            <w:pPr>
              <w:spacing w:line="240" w:lineRule="auto"/>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序号</w:t>
            </w:r>
          </w:p>
        </w:tc>
        <w:tc>
          <w:tcPr>
            <w:tcW w:w="6426" w:type="dxa"/>
            <w:tcBorders>
              <w:tl2br w:val="nil"/>
              <w:tr2bl w:val="nil"/>
            </w:tcBorders>
            <w:noWrap w:val="0"/>
            <w:vAlign w:val="center"/>
          </w:tcPr>
          <w:p w14:paraId="3DFAB4E3">
            <w:pPr>
              <w:spacing w:line="240" w:lineRule="auto"/>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证书名称</w:t>
            </w:r>
          </w:p>
        </w:tc>
        <w:tc>
          <w:tcPr>
            <w:tcW w:w="2309" w:type="dxa"/>
            <w:tcBorders>
              <w:tl2br w:val="nil"/>
              <w:tr2bl w:val="nil"/>
            </w:tcBorders>
            <w:noWrap w:val="0"/>
            <w:vAlign w:val="center"/>
          </w:tcPr>
          <w:p w14:paraId="1B29D7A5">
            <w:pPr>
              <w:spacing w:line="240" w:lineRule="auto"/>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查看</w:t>
            </w:r>
          </w:p>
        </w:tc>
      </w:tr>
      <w:tr w14:paraId="4E17A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70" w:type="dxa"/>
            <w:tcBorders>
              <w:tl2br w:val="nil"/>
              <w:tr2bl w:val="nil"/>
            </w:tcBorders>
            <w:noWrap w:val="0"/>
            <w:vAlign w:val="center"/>
          </w:tcPr>
          <w:p w14:paraId="7102B2D7">
            <w:pPr>
              <w:spacing w:line="240" w:lineRule="auto"/>
              <w:jc w:val="center"/>
              <w:rPr>
                <w:rFonts w:hint="default" w:ascii="宋体" w:hAnsi="宋体" w:cs="宋体"/>
                <w:sz w:val="21"/>
                <w:szCs w:val="21"/>
                <w:vertAlign w:val="baseline"/>
                <w:lang w:val="en-US" w:eastAsia="zh-CN"/>
              </w:rPr>
            </w:pPr>
          </w:p>
        </w:tc>
        <w:tc>
          <w:tcPr>
            <w:tcW w:w="6426" w:type="dxa"/>
            <w:tcBorders>
              <w:tl2br w:val="nil"/>
              <w:tr2bl w:val="nil"/>
            </w:tcBorders>
            <w:noWrap w:val="0"/>
            <w:vAlign w:val="center"/>
          </w:tcPr>
          <w:p w14:paraId="683058A7">
            <w:pPr>
              <w:spacing w:line="240" w:lineRule="auto"/>
              <w:jc w:val="center"/>
              <w:rPr>
                <w:rFonts w:hint="default" w:ascii="宋体" w:hAnsi="宋体" w:cs="宋体"/>
                <w:sz w:val="21"/>
                <w:szCs w:val="21"/>
                <w:vertAlign w:val="baseline"/>
                <w:lang w:val="en-US" w:eastAsia="zh-CN"/>
              </w:rPr>
            </w:pPr>
          </w:p>
        </w:tc>
        <w:tc>
          <w:tcPr>
            <w:tcW w:w="2309" w:type="dxa"/>
            <w:tcBorders>
              <w:tl2br w:val="nil"/>
              <w:tr2bl w:val="nil"/>
            </w:tcBorders>
            <w:noWrap w:val="0"/>
            <w:vAlign w:val="center"/>
          </w:tcPr>
          <w:p w14:paraId="5A22E86C">
            <w:pPr>
              <w:spacing w:line="240" w:lineRule="auto"/>
              <w:jc w:val="center"/>
              <w:rPr>
                <w:rFonts w:hint="default" w:ascii="宋体" w:hAnsi="宋体" w:cs="宋体"/>
                <w:sz w:val="21"/>
                <w:szCs w:val="21"/>
                <w:vertAlign w:val="baseline"/>
                <w:lang w:val="en-US" w:eastAsia="zh-CN"/>
              </w:rPr>
            </w:pPr>
          </w:p>
        </w:tc>
      </w:tr>
    </w:tbl>
    <w:p w14:paraId="616310AA">
      <w:pPr>
        <w:spacing w:line="440" w:lineRule="exact"/>
        <w:ind w:left="630" w:hanging="630" w:hangingChars="300"/>
        <w:rPr>
          <w:rFonts w:hint="eastAsia" w:ascii="黑体" w:hAnsi="宋体" w:eastAsia="黑体"/>
          <w:szCs w:val="21"/>
        </w:rPr>
      </w:pPr>
    </w:p>
    <w:p w14:paraId="7D4EFA8E">
      <w:pPr>
        <w:rPr>
          <w:rFonts w:ascii="Times New Roman" w:hAnsi="Times New Roman"/>
        </w:rPr>
      </w:pPr>
      <w:r>
        <w:rPr>
          <w:rFonts w:ascii="Times New Roman" w:hAnsi="Times New Roman"/>
        </w:rPr>
        <w:br w:type="page"/>
      </w:r>
    </w:p>
    <w:p w14:paraId="0F6EF711">
      <w:pPr>
        <w:keepNext w:val="0"/>
        <w:keepLines w:val="0"/>
        <w:pageBreakBefore w:val="0"/>
        <w:widowControl w:val="0"/>
        <w:kinsoku/>
        <w:wordWrap/>
        <w:overflowPunct/>
        <w:topLinePunct w:val="0"/>
        <w:autoSpaceDE/>
        <w:autoSpaceDN/>
        <w:bidi w:val="0"/>
        <w:adjustRightInd/>
        <w:snapToGrid/>
        <w:spacing w:before="120" w:beforeLines="50" w:after="120" w:afterLines="50" w:line="360" w:lineRule="auto"/>
        <w:ind w:left="0" w:firstLine="0" w:firstLineChars="0"/>
        <w:jc w:val="center"/>
        <w:textAlignment w:val="auto"/>
        <w:outlineLvl w:val="1"/>
        <w:rPr>
          <w:rFonts w:hint="eastAsia" w:ascii="黑体" w:hAnsi="宋体" w:eastAsia="黑体"/>
          <w:b/>
          <w:bCs/>
          <w:color w:val="auto"/>
          <w:sz w:val="24"/>
          <w:lang w:val="en-US" w:eastAsia="zh-CN"/>
        </w:rPr>
      </w:pPr>
      <w:bookmarkStart w:id="484" w:name="_Toc32266"/>
      <w:r>
        <w:rPr>
          <w:rFonts w:hint="eastAsia" w:ascii="黑体" w:hAnsi="宋体" w:eastAsia="黑体"/>
          <w:b/>
          <w:bCs/>
          <w:color w:val="auto"/>
          <w:sz w:val="24"/>
          <w:lang w:val="en-US" w:eastAsia="zh-CN"/>
        </w:rPr>
        <w:t>（七）制造商授权书</w:t>
      </w:r>
      <w:bookmarkEnd w:id="478"/>
      <w:bookmarkEnd w:id="479"/>
      <w:bookmarkEnd w:id="480"/>
      <w:bookmarkEnd w:id="484"/>
    </w:p>
    <w:p w14:paraId="216768FB">
      <w:pPr>
        <w:spacing w:line="540" w:lineRule="exact"/>
        <w:ind w:left="1120" w:hanging="964" w:hangingChars="400"/>
        <w:jc w:val="center"/>
        <w:rPr>
          <w:rFonts w:hint="eastAsia" w:ascii="黑体" w:hAnsi="Times New Roman" w:eastAsia="黑体"/>
          <w:b/>
          <w:bCs/>
          <w:color w:val="auto"/>
          <w:sz w:val="24"/>
          <w:szCs w:val="24"/>
        </w:rPr>
      </w:pPr>
      <w:r>
        <w:rPr>
          <w:rFonts w:hint="eastAsia" w:ascii="黑体" w:hAnsi="Times New Roman" w:eastAsia="黑体"/>
          <w:b/>
          <w:bCs/>
          <w:color w:val="auto"/>
          <w:sz w:val="24"/>
          <w:szCs w:val="24"/>
        </w:rPr>
        <w:t>制造商授权书</w:t>
      </w:r>
    </w:p>
    <w:p w14:paraId="58BDE4B0">
      <w:pPr>
        <w:spacing w:line="540" w:lineRule="exact"/>
        <w:ind w:left="1120" w:hanging="1120" w:hangingChars="400"/>
        <w:jc w:val="center"/>
        <w:rPr>
          <w:rFonts w:ascii="Times New Roman" w:hAnsi="Times New Roman" w:eastAsia="经典粗黑简"/>
          <w:sz w:val="28"/>
          <w:szCs w:val="28"/>
        </w:rPr>
      </w:pPr>
    </w:p>
    <w:p w14:paraId="0AEF4406">
      <w:pPr>
        <w:spacing w:line="440" w:lineRule="exact"/>
        <w:ind w:left="840" w:hanging="840"/>
        <w:rPr>
          <w:rFonts w:ascii="Times New Roman" w:hAnsi="Times New Roman"/>
        </w:rPr>
      </w:pPr>
      <w:r>
        <w:rPr>
          <w:rFonts w:ascii="Times New Roman" w:hAnsi="Times New Roman"/>
        </w:rPr>
        <w:t>致：</w:t>
      </w:r>
      <w:r>
        <w:rPr>
          <w:rFonts w:ascii="Times New Roman" w:hAnsi="Times New Roman"/>
          <w:color w:val="000000"/>
          <w:u w:val="single"/>
        </w:rPr>
        <w:t xml:space="preserve">              </w:t>
      </w:r>
      <w:r>
        <w:rPr>
          <w:rFonts w:ascii="Times New Roman" w:hAnsi="Times New Roman"/>
        </w:rPr>
        <w:t>（招标人）</w:t>
      </w:r>
    </w:p>
    <w:p w14:paraId="53EAC5D5">
      <w:pPr>
        <w:spacing w:line="440" w:lineRule="exact"/>
        <w:ind w:firstLine="420"/>
        <w:rPr>
          <w:rFonts w:ascii="Times New Roman" w:hAnsi="Times New Roman"/>
          <w:color w:val="000000"/>
        </w:rPr>
      </w:pPr>
      <w:r>
        <w:rPr>
          <w:rFonts w:ascii="Times New Roman" w:hAnsi="Times New Roman"/>
        </w:rPr>
        <w:t>我单位</w:t>
      </w:r>
      <w:r>
        <w:rPr>
          <w:rFonts w:ascii="Times New Roman" w:hAnsi="Times New Roman"/>
          <w:color w:val="000000"/>
          <w:u w:val="single"/>
        </w:rPr>
        <w:t xml:space="preserve">           </w:t>
      </w:r>
      <w:r>
        <w:rPr>
          <w:rFonts w:ascii="Times New Roman" w:hAnsi="Times New Roman"/>
        </w:rPr>
        <w:t>（制造商名称）是按</w:t>
      </w:r>
      <w:r>
        <w:rPr>
          <w:rFonts w:ascii="Times New Roman" w:hAnsi="Times New Roman"/>
          <w:color w:val="000000"/>
          <w:u w:val="single"/>
        </w:rPr>
        <w:t xml:space="preserve">              </w:t>
      </w:r>
      <w:r>
        <w:rPr>
          <w:rFonts w:ascii="Times New Roman" w:hAnsi="Times New Roman"/>
        </w:rPr>
        <w:t>（国家／地区名称）法律成立的一家制造商，主要营业地点设在</w:t>
      </w:r>
      <w:r>
        <w:rPr>
          <w:rFonts w:ascii="Times New Roman" w:hAnsi="Times New Roman"/>
          <w:color w:val="000000"/>
          <w:u w:val="single"/>
        </w:rPr>
        <w:t xml:space="preserve">             </w:t>
      </w:r>
      <w:r>
        <w:rPr>
          <w:rFonts w:ascii="Times New Roman" w:hAnsi="Times New Roman"/>
        </w:rPr>
        <w:t>（制造商地址）。兹授权按</w:t>
      </w:r>
      <w:r>
        <w:rPr>
          <w:rFonts w:ascii="Times New Roman" w:hAnsi="Times New Roman"/>
          <w:color w:val="000000"/>
          <w:u w:val="single"/>
        </w:rPr>
        <w:t xml:space="preserve">         </w:t>
      </w:r>
      <w:r>
        <w:rPr>
          <w:rFonts w:ascii="Times New Roman" w:hAnsi="Times New Roman"/>
        </w:rPr>
        <w:t>（国家／地区名称）的法律正式成立的，主要营业地点设在</w:t>
      </w:r>
      <w:r>
        <w:rPr>
          <w:rFonts w:ascii="Times New Roman" w:hAnsi="Times New Roman"/>
          <w:color w:val="000000"/>
          <w:u w:val="single"/>
        </w:rPr>
        <w:t xml:space="preserve">       </w:t>
      </w:r>
      <w:r>
        <w:rPr>
          <w:rFonts w:ascii="Times New Roman" w:hAnsi="Times New Roman"/>
        </w:rPr>
        <w:t>（投标人的单位地址）的</w:t>
      </w:r>
      <w:r>
        <w:rPr>
          <w:rFonts w:ascii="Times New Roman" w:hAnsi="Times New Roman"/>
          <w:color w:val="000000"/>
          <w:u w:val="single"/>
        </w:rPr>
        <w:t xml:space="preserve">              </w:t>
      </w:r>
      <w:r>
        <w:rPr>
          <w:rFonts w:ascii="Times New Roman" w:hAnsi="Times New Roman"/>
        </w:rPr>
        <w:t>（投标人名称）以我单位制造的</w:t>
      </w:r>
      <w:r>
        <w:rPr>
          <w:rFonts w:ascii="Times New Roman" w:hAnsi="Times New Roman"/>
          <w:color w:val="000000"/>
          <w:u w:val="single"/>
        </w:rPr>
        <w:t xml:space="preserve">            </w:t>
      </w:r>
      <w:r>
        <w:rPr>
          <w:rFonts w:ascii="Times New Roman" w:hAnsi="Times New Roman"/>
          <w:color w:val="000000"/>
        </w:rPr>
        <w:t>（材料名称）进行</w:t>
      </w:r>
      <w:r>
        <w:rPr>
          <w:rFonts w:ascii="Times New Roman" w:hAnsi="Times New Roman"/>
          <w:color w:val="000000"/>
          <w:u w:val="single"/>
        </w:rPr>
        <w:t xml:space="preserve">                 </w:t>
      </w:r>
      <w:r>
        <w:rPr>
          <w:rFonts w:ascii="Times New Roman" w:hAnsi="Times New Roman"/>
          <w:color w:val="000000"/>
        </w:rPr>
        <w:t>（项目名称）投标活动。我单位同意按照中标合同供货，并对产品质量承担责任。</w:t>
      </w:r>
    </w:p>
    <w:p w14:paraId="530E5EBA">
      <w:pPr>
        <w:spacing w:line="440" w:lineRule="exact"/>
        <w:ind w:firstLine="420"/>
        <w:rPr>
          <w:rFonts w:ascii="Times New Roman" w:hAnsi="Times New Roman"/>
        </w:rPr>
      </w:pPr>
      <w:r>
        <w:rPr>
          <w:rFonts w:ascii="Times New Roman" w:hAnsi="Times New Roman"/>
        </w:rPr>
        <w:t>授权期限：</w:t>
      </w:r>
      <w:r>
        <w:rPr>
          <w:rFonts w:ascii="Times New Roman" w:hAnsi="Times New Roman"/>
          <w:color w:val="000000"/>
          <w:u w:val="single"/>
        </w:rPr>
        <w:t xml:space="preserve">                            </w:t>
      </w:r>
      <w:r>
        <w:rPr>
          <w:rFonts w:ascii="Times New Roman" w:hAnsi="Times New Roman"/>
          <w:color w:val="000000"/>
        </w:rPr>
        <w:t>。</w:t>
      </w:r>
    </w:p>
    <w:p w14:paraId="641A656C">
      <w:pPr>
        <w:spacing w:line="440" w:lineRule="exact"/>
        <w:rPr>
          <w:rFonts w:ascii="Times New Roman" w:hAnsi="Times New Roman"/>
        </w:rPr>
      </w:pPr>
    </w:p>
    <w:p w14:paraId="0597B8C3">
      <w:pPr>
        <w:spacing w:line="440" w:lineRule="exact"/>
        <w:rPr>
          <w:rFonts w:ascii="Times New Roman" w:hAnsi="Times New Roman"/>
        </w:rPr>
      </w:pPr>
    </w:p>
    <w:p w14:paraId="2FE77442">
      <w:pPr>
        <w:spacing w:line="440" w:lineRule="exact"/>
        <w:rPr>
          <w:rFonts w:ascii="Times New Roman" w:hAnsi="Times New Roman"/>
          <w:color w:val="000000"/>
          <w:u w:val="single"/>
        </w:rPr>
      </w:pPr>
      <w:r>
        <w:rPr>
          <w:rFonts w:ascii="Times New Roman" w:hAnsi="Times New Roman"/>
        </w:rPr>
        <w:t>投标人名称：</w:t>
      </w:r>
      <w:r>
        <w:rPr>
          <w:rFonts w:ascii="Times New Roman" w:hAnsi="Times New Roman"/>
          <w:color w:val="000000"/>
          <w:u w:val="single"/>
        </w:rPr>
        <w:t xml:space="preserve">              </w:t>
      </w:r>
      <w:r>
        <w:rPr>
          <w:rFonts w:hint="eastAsia" w:ascii="Times New Roman" w:hAnsi="Times New Roman"/>
          <w:color w:val="000000"/>
          <w:u w:val="single"/>
        </w:rPr>
        <w:t xml:space="preserve">  </w:t>
      </w:r>
      <w:r>
        <w:rPr>
          <w:rFonts w:hint="eastAsia" w:ascii="Times New Roman" w:hAnsi="Times New Roman"/>
          <w:color w:val="000000"/>
        </w:rPr>
        <w:t>（盖单位章）</w:t>
      </w:r>
      <w:r>
        <w:rPr>
          <w:rFonts w:ascii="Times New Roman" w:hAnsi="Times New Roman"/>
        </w:rPr>
        <w:t xml:space="preserve">  制造商名称：</w:t>
      </w:r>
      <w:r>
        <w:rPr>
          <w:rFonts w:ascii="Times New Roman" w:hAnsi="Times New Roman"/>
          <w:color w:val="000000"/>
          <w:u w:val="single"/>
        </w:rPr>
        <w:t xml:space="preserve">               </w:t>
      </w:r>
      <w:r>
        <w:rPr>
          <w:rFonts w:hint="eastAsia" w:ascii="Times New Roman" w:hAnsi="Times New Roman"/>
          <w:color w:val="000000"/>
          <w:u w:val="single"/>
        </w:rPr>
        <w:t xml:space="preserve">  </w:t>
      </w:r>
      <w:r>
        <w:rPr>
          <w:rFonts w:hint="eastAsia" w:ascii="Times New Roman" w:hAnsi="Times New Roman"/>
          <w:color w:val="000000"/>
        </w:rPr>
        <w:t>（盖单位章）</w:t>
      </w:r>
    </w:p>
    <w:p w14:paraId="34ECDD1A">
      <w:pPr>
        <w:spacing w:line="440" w:lineRule="exact"/>
        <w:rPr>
          <w:rFonts w:ascii="Times New Roman" w:hAnsi="Times New Roman"/>
        </w:rPr>
      </w:pPr>
      <w:r>
        <w:rPr>
          <w:rFonts w:ascii="Times New Roman" w:hAnsi="Times New Roman"/>
        </w:rPr>
        <w:t>签字人职务：</w:t>
      </w:r>
      <w:r>
        <w:rPr>
          <w:rFonts w:ascii="Times New Roman" w:hAnsi="Times New Roman"/>
          <w:color w:val="000000"/>
          <w:u w:val="single"/>
        </w:rPr>
        <w:t xml:space="preserve">                            </w:t>
      </w:r>
      <w:r>
        <w:rPr>
          <w:rFonts w:ascii="Times New Roman" w:hAnsi="Times New Roman"/>
        </w:rPr>
        <w:t xml:space="preserve">  签字人职务：</w:t>
      </w:r>
      <w:r>
        <w:rPr>
          <w:rFonts w:ascii="Times New Roman" w:hAnsi="Times New Roman"/>
          <w:color w:val="000000"/>
          <w:u w:val="single"/>
        </w:rPr>
        <w:t xml:space="preserve">                            </w:t>
      </w:r>
    </w:p>
    <w:p w14:paraId="5B52E941">
      <w:pPr>
        <w:spacing w:line="440" w:lineRule="exact"/>
        <w:ind w:left="840" w:hanging="840"/>
        <w:rPr>
          <w:rFonts w:ascii="Times New Roman" w:hAnsi="Times New Roman"/>
        </w:rPr>
      </w:pPr>
      <w:r>
        <w:rPr>
          <w:rFonts w:ascii="Times New Roman" w:hAnsi="Times New Roman"/>
        </w:rPr>
        <w:t>签字人姓名：</w:t>
      </w:r>
      <w:r>
        <w:rPr>
          <w:rFonts w:ascii="Times New Roman" w:hAnsi="Times New Roman"/>
          <w:color w:val="000000"/>
          <w:u w:val="single"/>
        </w:rPr>
        <w:t xml:space="preserve">                            </w:t>
      </w:r>
      <w:r>
        <w:rPr>
          <w:rFonts w:ascii="Times New Roman" w:hAnsi="Times New Roman"/>
        </w:rPr>
        <w:t xml:space="preserve">  签字人姓名：</w:t>
      </w:r>
      <w:r>
        <w:rPr>
          <w:rFonts w:ascii="Times New Roman" w:hAnsi="Times New Roman"/>
          <w:color w:val="000000"/>
          <w:u w:val="single"/>
        </w:rPr>
        <w:t xml:space="preserve">                            </w:t>
      </w:r>
    </w:p>
    <w:p w14:paraId="0C65C1D8">
      <w:pPr>
        <w:spacing w:line="440" w:lineRule="exact"/>
        <w:rPr>
          <w:rFonts w:ascii="Times New Roman" w:hAnsi="Times New Roman"/>
        </w:rPr>
      </w:pPr>
      <w:r>
        <w:rPr>
          <w:rFonts w:ascii="Times New Roman" w:hAnsi="Times New Roman"/>
        </w:rPr>
        <w:t>签字人签名：</w:t>
      </w:r>
      <w:r>
        <w:rPr>
          <w:rFonts w:ascii="Times New Roman" w:hAnsi="Times New Roman"/>
          <w:color w:val="000000"/>
          <w:u w:val="single"/>
        </w:rPr>
        <w:t xml:space="preserve">                            </w:t>
      </w:r>
      <w:r>
        <w:rPr>
          <w:rFonts w:ascii="Times New Roman" w:hAnsi="Times New Roman"/>
        </w:rPr>
        <w:t xml:space="preserve">  签字人签名：</w:t>
      </w:r>
      <w:r>
        <w:rPr>
          <w:rFonts w:ascii="Times New Roman" w:hAnsi="Times New Roman"/>
          <w:color w:val="000000"/>
          <w:u w:val="single"/>
        </w:rPr>
        <w:t xml:space="preserve">                            </w:t>
      </w:r>
    </w:p>
    <w:p w14:paraId="66F0F389">
      <w:pPr>
        <w:spacing w:line="440" w:lineRule="exact"/>
        <w:rPr>
          <w:rFonts w:ascii="Times New Roman" w:hAnsi="Times New Roman"/>
          <w:color w:val="000000"/>
        </w:rPr>
      </w:pPr>
      <w:r>
        <w:rPr>
          <w:rFonts w:ascii="Times New Roman" w:hAnsi="Times New Roman"/>
        </w:rPr>
        <w:br w:type="page"/>
      </w:r>
    </w:p>
    <w:p w14:paraId="598BA2DF">
      <w:pPr>
        <w:pStyle w:val="3"/>
        <w:spacing w:line="400" w:lineRule="exact"/>
        <w:jc w:val="center"/>
        <w:rPr>
          <w:rFonts w:ascii="Times New Roman" w:hAnsi="Times New Roman"/>
        </w:rPr>
      </w:pPr>
      <w:bookmarkStart w:id="485" w:name="_Toc20889"/>
      <w:r>
        <w:rPr>
          <w:rFonts w:ascii="Times New Roman" w:hAnsi="Times New Roman"/>
        </w:rPr>
        <w:t>八、投标材料质量标准的详细描述</w:t>
      </w:r>
      <w:bookmarkEnd w:id="485"/>
    </w:p>
    <w:p w14:paraId="36568406">
      <w:pPr>
        <w:pStyle w:val="3"/>
        <w:spacing w:line="400" w:lineRule="exact"/>
        <w:jc w:val="center"/>
        <w:rPr>
          <w:rFonts w:ascii="Times New Roman" w:hAnsi="Times New Roman"/>
        </w:rPr>
      </w:pPr>
      <w:r>
        <w:rPr>
          <w:rFonts w:ascii="Times New Roman" w:hAnsi="Times New Roman"/>
        </w:rPr>
        <w:br w:type="page"/>
      </w:r>
      <w:bookmarkStart w:id="486" w:name="_Toc29971"/>
      <w:r>
        <w:rPr>
          <w:rFonts w:ascii="Times New Roman" w:hAnsi="Times New Roman"/>
        </w:rPr>
        <w:t>九、技术支持资料</w:t>
      </w:r>
      <w:bookmarkEnd w:id="486"/>
    </w:p>
    <w:p w14:paraId="4B200695">
      <w:pPr>
        <w:spacing w:line="400" w:lineRule="exact"/>
        <w:jc w:val="center"/>
        <w:outlineLvl w:val="9"/>
        <w:rPr>
          <w:rFonts w:ascii="Times New Roman" w:hAnsi="Times New Roman"/>
        </w:rPr>
      </w:pPr>
      <w:r>
        <w:rPr>
          <w:rFonts w:ascii="Times New Roman" w:hAnsi="Times New Roman"/>
        </w:rPr>
        <w:br w:type="page"/>
      </w:r>
    </w:p>
    <w:p w14:paraId="28D7013B">
      <w:pPr>
        <w:pStyle w:val="3"/>
        <w:spacing w:line="400" w:lineRule="exact"/>
        <w:jc w:val="center"/>
        <w:rPr>
          <w:rFonts w:ascii="Times New Roman" w:hAnsi="Times New Roman"/>
          <w:b w:val="0"/>
        </w:rPr>
      </w:pPr>
      <w:bookmarkStart w:id="487" w:name="_Toc25185"/>
      <w:r>
        <w:rPr>
          <w:rFonts w:ascii="Times New Roman" w:hAnsi="Times New Roman"/>
        </w:rPr>
        <w:t>十、相关服务计划</w:t>
      </w:r>
      <w:bookmarkEnd w:id="487"/>
    </w:p>
    <w:p w14:paraId="50F79A7A">
      <w:pPr>
        <w:spacing w:line="400" w:lineRule="exact"/>
        <w:jc w:val="center"/>
        <w:outlineLvl w:val="9"/>
        <w:rPr>
          <w:rFonts w:ascii="Times New Roman" w:hAnsi="Times New Roman"/>
        </w:rPr>
      </w:pPr>
    </w:p>
    <w:p w14:paraId="75E7AC79">
      <w:pPr>
        <w:pStyle w:val="3"/>
        <w:spacing w:line="400" w:lineRule="exact"/>
        <w:jc w:val="center"/>
        <w:rPr>
          <w:rFonts w:ascii="Times New Roman" w:hAnsi="Times New Roman"/>
        </w:rPr>
      </w:pPr>
      <w:r>
        <w:rPr>
          <w:rFonts w:ascii="Times New Roman" w:hAnsi="Times New Roman"/>
        </w:rPr>
        <w:br w:type="page"/>
      </w:r>
      <w:bookmarkStart w:id="488" w:name="_Toc15542"/>
      <w:r>
        <w:rPr>
          <w:rFonts w:ascii="Times New Roman" w:hAnsi="Times New Roman"/>
        </w:rPr>
        <w:t>十一、</w:t>
      </w:r>
      <w:r>
        <w:rPr>
          <w:rFonts w:hint="eastAsia" w:ascii="Times New Roman" w:hAnsi="Times New Roman"/>
          <w:color w:val="000000"/>
          <w:lang w:val="en-US" w:eastAsia="zh-CN"/>
        </w:rPr>
        <w:t>投标人须知前附表规定的</w:t>
      </w:r>
      <w:r>
        <w:rPr>
          <w:rFonts w:ascii="Times New Roman" w:hAnsi="Times New Roman"/>
          <w:color w:val="000000"/>
        </w:rPr>
        <w:t>其他资料</w:t>
      </w:r>
      <w:bookmarkEnd w:id="488"/>
    </w:p>
    <w:p w14:paraId="39B0674A">
      <w:pPr>
        <w:rPr>
          <w:rFonts w:ascii="Times New Roman" w:hAnsi="Times New Roman"/>
        </w:rPr>
      </w:pPr>
    </w:p>
    <w:p w14:paraId="48461823">
      <w:pPr>
        <w:jc w:val="center"/>
        <w:rPr>
          <w:rFonts w:hint="eastAsia" w:ascii="Times New Roman" w:hAnsi="Times New Roman"/>
          <w:b/>
          <w:bCs/>
          <w:color w:val="000000"/>
          <w:sz w:val="28"/>
          <w:szCs w:val="32"/>
          <w:highlight w:val="none"/>
          <w:lang w:val="en-US" w:eastAsia="zh-CN"/>
        </w:rPr>
      </w:pPr>
      <w:r>
        <w:rPr>
          <w:rFonts w:ascii="Times New Roman" w:hAnsi="Times New Roman"/>
          <w:b/>
          <w:bCs/>
          <w:color w:val="000000"/>
          <w:sz w:val="28"/>
          <w:szCs w:val="32"/>
          <w:highlight w:val="none"/>
        </w:rPr>
        <w:t>不存在禁止投标的情形</w:t>
      </w:r>
      <w:r>
        <w:rPr>
          <w:rFonts w:hint="eastAsia" w:ascii="Times New Roman" w:hAnsi="Times New Roman"/>
          <w:b/>
          <w:bCs/>
          <w:color w:val="000000"/>
          <w:sz w:val="28"/>
          <w:szCs w:val="32"/>
          <w:highlight w:val="none"/>
          <w:lang w:val="en-US" w:eastAsia="zh-CN"/>
        </w:rPr>
        <w:t>承诺函</w:t>
      </w:r>
    </w:p>
    <w:p w14:paraId="02F7D585">
      <w:pPr>
        <w:rPr>
          <w:rFonts w:hint="eastAsia" w:ascii="Times New Roman" w:hAnsi="Times New Roman"/>
          <w:color w:val="000000"/>
          <w:highlight w:val="none"/>
          <w:lang w:val="en-US" w:eastAsia="zh-CN"/>
        </w:rPr>
      </w:pPr>
    </w:p>
    <w:p w14:paraId="2AC7667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呼和浩特</w:t>
      </w:r>
      <w:r>
        <w:rPr>
          <w:rFonts w:hint="eastAsia" w:ascii="宋体" w:hAnsi="宋体" w:eastAsia="宋体" w:cs="宋体"/>
          <w:sz w:val="24"/>
          <w:szCs w:val="24"/>
          <w:highlight w:val="none"/>
        </w:rPr>
        <w:t>市住房和城乡建设局、本招标项目招标人及招标监管机构：</w:t>
      </w:r>
    </w:p>
    <w:p w14:paraId="49B872C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本公司就参加投标工作，作出郑重声明：</w:t>
      </w:r>
    </w:p>
    <w:p w14:paraId="4B10BA5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一、本公司保证投标报名及其后提供的一切材料都是真实的。如我司成为本项目中标候选人，我司同意并授权招标人将我司投标文件商务部分的人员、业绩、奖项等资料进行公开。</w:t>
      </w:r>
    </w:p>
    <w:p w14:paraId="68C2BBA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二、本公司保证在本项目投标中不与其他单位围标、串标，不出让投标资格，不向招标人或评标委员会成员行贿。</w:t>
      </w:r>
    </w:p>
    <w:p w14:paraId="2FD8B62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三、本公司不存在下列情形之一：</w:t>
      </w:r>
    </w:p>
    <w:p w14:paraId="6A899CA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（1）为招标人不具有独立法人资格的附属机构（单位）；</w:t>
      </w:r>
    </w:p>
    <w:p w14:paraId="6684D05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（2）与招标人存在利害关系且可能影响招标公正性；</w:t>
      </w:r>
    </w:p>
    <w:p w14:paraId="3E40D84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（3）与本招标项目的其他投标人为同一个单位负责人；</w:t>
      </w:r>
    </w:p>
    <w:p w14:paraId="73DDB08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（4）与本招标项目的其他投标人存在控股、管理关系；</w:t>
      </w:r>
    </w:p>
    <w:p w14:paraId="5AAEFE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（5）为本招标项目的代建人；</w:t>
      </w:r>
    </w:p>
    <w:p w14:paraId="3DFFE57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（6）为本招标项目的招标代理机构；</w:t>
      </w:r>
    </w:p>
    <w:p w14:paraId="2C104BF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（7）与本招标项目的代建人或招标代理机构同为一个法定代表人；</w:t>
      </w:r>
    </w:p>
    <w:p w14:paraId="54A2A66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（8）与本招标项目的代建人或招标代理机构存在控股或参股关系；</w:t>
      </w:r>
    </w:p>
    <w:p w14:paraId="0D49769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（9）与本招标项目的施工承包人以及建筑材料、建筑构配件和设备供应商有隶属关系或者其他利害关系；</w:t>
      </w:r>
    </w:p>
    <w:p w14:paraId="00CA62A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（10）被依法暂停或者取消</w:t>
      </w:r>
      <w:r>
        <w:rPr>
          <w:rFonts w:hint="eastAsia" w:ascii="宋体" w:hAnsi="宋体" w:eastAsia="宋体" w:cs="宋体"/>
          <w:sz w:val="24"/>
          <w:szCs w:val="24"/>
          <w:highlight w:val="none"/>
          <w:lang w:val="en-US" w:eastAsia="zh-CN"/>
        </w:rPr>
        <w:t>在项目所在地</w:t>
      </w:r>
      <w:r>
        <w:rPr>
          <w:rFonts w:hint="eastAsia" w:ascii="宋体" w:hAnsi="宋体" w:eastAsia="宋体" w:cs="宋体"/>
          <w:sz w:val="24"/>
          <w:szCs w:val="24"/>
          <w:highlight w:val="none"/>
        </w:rPr>
        <w:t>投标资格；</w:t>
      </w:r>
    </w:p>
    <w:p w14:paraId="385071A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（11）被责令停产停业、暂扣或者吊销许可证、暂扣或者吊销执照；</w:t>
      </w:r>
    </w:p>
    <w:p w14:paraId="1747520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（12）进入清算程序，或被宣告破产，或其他丧失履约能力的情形；</w:t>
      </w:r>
    </w:p>
    <w:p w14:paraId="23951D1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（13）在最近三年内发生重大施工质量问题和安全生产事故（以具有管辖权相关行业主管部门的行政处罚决或司法机关出具的有关法律文书为准）；</w:t>
      </w:r>
    </w:p>
    <w:p w14:paraId="326880F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（14）在“信用中国”网站（www.creditchina.gov.cn）或各级信用信息共享平台中列入失信被执行人名单；</w:t>
      </w:r>
    </w:p>
    <w:p w14:paraId="59AC547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15</w:t>
      </w:r>
      <w:r>
        <w:rPr>
          <w:rFonts w:hint="eastAsia" w:ascii="宋体" w:hAnsi="宋体" w:cs="宋体"/>
          <w:sz w:val="24"/>
          <w:szCs w:val="24"/>
          <w:highlight w:val="none"/>
          <w:lang w:eastAsia="zh-CN"/>
        </w:rPr>
        <w:t>）投标企业所使用的关键岗位人员（包括但不限于项目经理、总监理工程师、安全负责人、技术负责人、施工负责人、质量负责人、专业监理工程师、专职安全生产管理人员等。）存在失信行为。</w:t>
      </w:r>
    </w:p>
    <w:p w14:paraId="6AA552C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cs="宋体"/>
          <w:sz w:val="24"/>
          <w:szCs w:val="24"/>
          <w:highlight w:val="none"/>
          <w:lang w:val="en-US" w:eastAsia="zh-CN"/>
        </w:rPr>
        <w:t>6</w:t>
      </w:r>
      <w:r>
        <w:rPr>
          <w:rFonts w:hint="eastAsia" w:ascii="宋体" w:hAnsi="宋体" w:eastAsia="宋体" w:cs="宋体"/>
          <w:sz w:val="24"/>
          <w:szCs w:val="24"/>
          <w:highlight w:val="none"/>
        </w:rPr>
        <w:t>）</w:t>
      </w:r>
      <w:r>
        <w:rPr>
          <w:rFonts w:hint="eastAsia" w:ascii="宋体" w:hAnsi="宋体" w:cs="宋体"/>
          <w:sz w:val="24"/>
          <w:szCs w:val="24"/>
          <w:highlight w:val="none"/>
        </w:rPr>
        <w:t>被列入拖欠农民工工资失信联合惩戒对象名单以及法律法规规章、政策文件要求实施联合惩戒予以限制投标的。</w:t>
      </w:r>
    </w:p>
    <w:p w14:paraId="06E18F5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17</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法律法规或投标人须知前附表规定的其他情形。</w:t>
      </w:r>
    </w:p>
    <w:p w14:paraId="08345C5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四</w:t>
      </w:r>
      <w:r>
        <w:rPr>
          <w:rFonts w:hint="eastAsia" w:ascii="宋体" w:hAnsi="宋体" w:eastAsia="宋体" w:cs="宋体"/>
          <w:sz w:val="24"/>
          <w:szCs w:val="24"/>
          <w:highlight w:val="none"/>
        </w:rPr>
        <w:t>、与本公司单位负责人为同一人或者与本公司存在控股、管理关系的其他单位包括：</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。（注：本条由投标人如实填写，如有，应列出全部满足招标公告资质要求的相关单位的名称；如无，则填写“无”。）</w:t>
      </w:r>
    </w:p>
    <w:p w14:paraId="11EC7A1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p>
    <w:p w14:paraId="364F85A2">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right"/>
        <w:textAlignment w:val="auto"/>
        <w:rPr>
          <w:rFonts w:hint="default"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rPr>
        <w:t>声明企业</w:t>
      </w:r>
      <w:r>
        <w:rPr>
          <w:rFonts w:hint="eastAsia" w:ascii="宋体" w:hAnsi="宋体" w:cs="宋体"/>
          <w:sz w:val="24"/>
          <w:szCs w:val="24"/>
          <w:highlight w:val="none"/>
          <w:lang w:eastAsia="zh-CN"/>
        </w:rPr>
        <w:t>：</w:t>
      </w:r>
      <w:r>
        <w:rPr>
          <w:rFonts w:hint="eastAsia" w:ascii="宋体" w:hAnsi="宋体" w:eastAsia="宋体" w:cs="宋体"/>
          <w:sz w:val="24"/>
          <w:szCs w:val="24"/>
          <w:highlight w:val="none"/>
          <w:lang w:val="en-US" w:eastAsia="zh-CN"/>
        </w:rPr>
        <w:t xml:space="preserve">                    </w:t>
      </w:r>
    </w:p>
    <w:p w14:paraId="58623C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法定代表人</w:t>
      </w:r>
      <w:r>
        <w:rPr>
          <w:rFonts w:hint="eastAsia" w:ascii="宋体" w:hAnsi="宋体" w:eastAsia="宋体" w:cs="宋体"/>
          <w:sz w:val="24"/>
          <w:szCs w:val="24"/>
          <w:highlight w:val="none"/>
          <w:lang w:val="en-US" w:eastAsia="zh-CN"/>
        </w:rPr>
        <w:t>或委托代理人</w:t>
      </w:r>
      <w:r>
        <w:rPr>
          <w:rFonts w:hint="eastAsia" w:ascii="宋体" w:hAnsi="宋体" w:eastAsia="宋体" w:cs="宋体"/>
          <w:sz w:val="24"/>
          <w:szCs w:val="24"/>
          <w:highlight w:val="none"/>
        </w:rPr>
        <w:t>签字：</w:t>
      </w:r>
    </w:p>
    <w:p w14:paraId="2FECF57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年   月   日</w:t>
      </w:r>
    </w:p>
    <w:p w14:paraId="2FE37DBB">
      <w:pPr>
        <w:pStyle w:val="16"/>
        <w:keepNext w:val="0"/>
        <w:keepLines w:val="0"/>
        <w:pageBreakBefore w:val="0"/>
        <w:widowControl w:val="0"/>
        <w:kinsoku/>
        <w:wordWrap w:val="0"/>
        <w:overflowPunct/>
        <w:topLinePunct w:val="0"/>
        <w:autoSpaceDE/>
        <w:autoSpaceDN/>
        <w:bidi w:val="0"/>
        <w:adjustRightInd/>
        <w:spacing w:line="360" w:lineRule="auto"/>
        <w:ind w:firstLine="480" w:firstLineChars="200"/>
        <w:jc w:val="right"/>
        <w:textAlignment w:val="auto"/>
        <w:rPr>
          <w:rFonts w:ascii="Times New Roman" w:hAnsi="Times New Roman"/>
        </w:rPr>
      </w:pPr>
      <w:r>
        <w:rPr>
          <w:rFonts w:hint="eastAsia" w:ascii="宋体" w:hAnsi="宋体" w:eastAsia="宋体" w:cs="宋体"/>
          <w:sz w:val="24"/>
          <w:szCs w:val="24"/>
          <w:highlight w:val="none"/>
        </w:rPr>
        <w:t xml:space="preserve">                                                       （企业公章）</w:t>
      </w:r>
    </w:p>
    <w:p w14:paraId="71E6957E">
      <w:pPr>
        <w:rPr>
          <w:rFonts w:ascii="Times New Roman" w:hAnsi="Times New Roman"/>
        </w:rPr>
      </w:pPr>
    </w:p>
    <w:p w14:paraId="7E8E6571">
      <w:pPr>
        <w:rPr>
          <w:rFonts w:ascii="Times New Roman" w:hAnsi="Times New Roman"/>
        </w:rPr>
      </w:pPr>
    </w:p>
    <w:bookmarkEnd w:id="489"/>
    <w:sectPr>
      <w:footerReference r:id="rId3" w:type="default"/>
      <w:type w:val="continuous"/>
      <w:pgSz w:w="12240" w:h="15840"/>
      <w:pgMar w:top="1440" w:right="1800" w:bottom="1440" w:left="1800" w:header="720" w:footer="720" w:gutter="0"/>
      <w:cols w:space="720" w:num="1"/>
      <w:docGrid w:linePitch="28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经典粗黑简">
    <w:altName w:val="微软雅黑"/>
    <w:panose1 w:val="00000000000000000000"/>
    <w:charset w:val="86"/>
    <w:family w:val="modern"/>
    <w:pitch w:val="default"/>
    <w:sig w:usb0="00000000" w:usb1="00000000" w:usb2="0000001E"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DF12B5">
    <w:pPr>
      <w:pStyle w:val="16"/>
      <w:jc w:val="center"/>
    </w:pPr>
    <w:r>
      <w:fldChar w:fldCharType="begin"/>
    </w:r>
    <w:r>
      <w:instrText xml:space="preserve"> PAGE   \* MERGEFORMAT </w:instrText>
    </w:r>
    <w:r>
      <w:fldChar w:fldCharType="separate"/>
    </w:r>
    <w:r>
      <w:rPr>
        <w:lang w:val="zh-CN"/>
      </w:rPr>
      <w:t>79</w:t>
    </w:r>
    <w:r>
      <w:rPr>
        <w:lang w:val="zh-CN"/>
      </w:rPr>
      <w:fldChar w:fldCharType="end"/>
    </w:r>
  </w:p>
  <w:p w14:paraId="3B30AB4E">
    <w:pPr>
      <w:pStyle w:val="1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696D53"/>
    <w:multiLevelType w:val="singleLevel"/>
    <w:tmpl w:val="1E696D53"/>
    <w:lvl w:ilvl="0" w:tentative="0">
      <w:start w:val="3"/>
      <w:numFmt w:val="chineseCounting"/>
      <w:suff w:val="nothing"/>
      <w:lvlText w:val="%1、"/>
      <w:lvlJc w:val="left"/>
      <w:rPr>
        <w:rFonts w:hint="eastAsia"/>
      </w:rPr>
    </w:lvl>
  </w:abstractNum>
  <w:abstractNum w:abstractNumId="1">
    <w:nsid w:val="60F5DF94"/>
    <w:multiLevelType w:val="singleLevel"/>
    <w:tmpl w:val="60F5DF94"/>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FiZTJiNGU4MGVhZTVjMjk2MjU0MGMxZDQ4NWFlYTUifQ=="/>
  </w:docVars>
  <w:rsids>
    <w:rsidRoot w:val="00172A27"/>
    <w:rsid w:val="00002A60"/>
    <w:rsid w:val="00004603"/>
    <w:rsid w:val="00007319"/>
    <w:rsid w:val="000106AE"/>
    <w:rsid w:val="00012703"/>
    <w:rsid w:val="0001485E"/>
    <w:rsid w:val="00021BFE"/>
    <w:rsid w:val="000250D6"/>
    <w:rsid w:val="00025ACC"/>
    <w:rsid w:val="00026171"/>
    <w:rsid w:val="00033881"/>
    <w:rsid w:val="000351AE"/>
    <w:rsid w:val="00043778"/>
    <w:rsid w:val="0005468C"/>
    <w:rsid w:val="00062AC6"/>
    <w:rsid w:val="00067035"/>
    <w:rsid w:val="00070121"/>
    <w:rsid w:val="0007139F"/>
    <w:rsid w:val="000778D0"/>
    <w:rsid w:val="00080C9B"/>
    <w:rsid w:val="0008132B"/>
    <w:rsid w:val="00081360"/>
    <w:rsid w:val="0008253E"/>
    <w:rsid w:val="0009436D"/>
    <w:rsid w:val="000943B0"/>
    <w:rsid w:val="00094A28"/>
    <w:rsid w:val="00094C66"/>
    <w:rsid w:val="000962E4"/>
    <w:rsid w:val="00097D40"/>
    <w:rsid w:val="000A287B"/>
    <w:rsid w:val="000A5C81"/>
    <w:rsid w:val="000A76B3"/>
    <w:rsid w:val="000B65E2"/>
    <w:rsid w:val="000C0018"/>
    <w:rsid w:val="000C1A9B"/>
    <w:rsid w:val="000C1C80"/>
    <w:rsid w:val="000C2AB5"/>
    <w:rsid w:val="000C4710"/>
    <w:rsid w:val="000D4336"/>
    <w:rsid w:val="000D49B4"/>
    <w:rsid w:val="000E08CB"/>
    <w:rsid w:val="000E5673"/>
    <w:rsid w:val="000E6375"/>
    <w:rsid w:val="000E6D00"/>
    <w:rsid w:val="000F2186"/>
    <w:rsid w:val="000F2A12"/>
    <w:rsid w:val="000F2ECC"/>
    <w:rsid w:val="000F55AD"/>
    <w:rsid w:val="001011FC"/>
    <w:rsid w:val="00102618"/>
    <w:rsid w:val="00105423"/>
    <w:rsid w:val="00106180"/>
    <w:rsid w:val="001119B6"/>
    <w:rsid w:val="00115124"/>
    <w:rsid w:val="00117F0F"/>
    <w:rsid w:val="00125158"/>
    <w:rsid w:val="00130FB8"/>
    <w:rsid w:val="0014098E"/>
    <w:rsid w:val="001530C6"/>
    <w:rsid w:val="00167741"/>
    <w:rsid w:val="00172A27"/>
    <w:rsid w:val="001735B4"/>
    <w:rsid w:val="001748A3"/>
    <w:rsid w:val="00182B11"/>
    <w:rsid w:val="00183B4A"/>
    <w:rsid w:val="00185F10"/>
    <w:rsid w:val="00187033"/>
    <w:rsid w:val="00193C1D"/>
    <w:rsid w:val="001978D3"/>
    <w:rsid w:val="001A093D"/>
    <w:rsid w:val="001A0CCF"/>
    <w:rsid w:val="001A2E05"/>
    <w:rsid w:val="001A374D"/>
    <w:rsid w:val="001A3DCB"/>
    <w:rsid w:val="001A4491"/>
    <w:rsid w:val="001A4684"/>
    <w:rsid w:val="001B0E6B"/>
    <w:rsid w:val="001B70EC"/>
    <w:rsid w:val="001B7FEF"/>
    <w:rsid w:val="001C30C7"/>
    <w:rsid w:val="001E1433"/>
    <w:rsid w:val="001F2208"/>
    <w:rsid w:val="001F4134"/>
    <w:rsid w:val="001F45EE"/>
    <w:rsid w:val="001F4850"/>
    <w:rsid w:val="00204A5C"/>
    <w:rsid w:val="00207A0B"/>
    <w:rsid w:val="00212A53"/>
    <w:rsid w:val="0021322F"/>
    <w:rsid w:val="00213B90"/>
    <w:rsid w:val="00215224"/>
    <w:rsid w:val="00215AF0"/>
    <w:rsid w:val="00221B9D"/>
    <w:rsid w:val="002229E2"/>
    <w:rsid w:val="0022434B"/>
    <w:rsid w:val="0023423F"/>
    <w:rsid w:val="00237B0E"/>
    <w:rsid w:val="002430C2"/>
    <w:rsid w:val="00251A49"/>
    <w:rsid w:val="0025460A"/>
    <w:rsid w:val="002558A4"/>
    <w:rsid w:val="00255D0D"/>
    <w:rsid w:val="00260C77"/>
    <w:rsid w:val="00261352"/>
    <w:rsid w:val="00263F0B"/>
    <w:rsid w:val="00264EB1"/>
    <w:rsid w:val="00276C71"/>
    <w:rsid w:val="00281526"/>
    <w:rsid w:val="00284601"/>
    <w:rsid w:val="00285406"/>
    <w:rsid w:val="00294D9A"/>
    <w:rsid w:val="002A552C"/>
    <w:rsid w:val="002A65ED"/>
    <w:rsid w:val="002C0C29"/>
    <w:rsid w:val="002C7B9B"/>
    <w:rsid w:val="002D11A0"/>
    <w:rsid w:val="002D2B90"/>
    <w:rsid w:val="002D6F32"/>
    <w:rsid w:val="002E1DAC"/>
    <w:rsid w:val="002E2461"/>
    <w:rsid w:val="002E6D05"/>
    <w:rsid w:val="002F3394"/>
    <w:rsid w:val="002F72A0"/>
    <w:rsid w:val="00302CFF"/>
    <w:rsid w:val="00311324"/>
    <w:rsid w:val="003122C4"/>
    <w:rsid w:val="0032031D"/>
    <w:rsid w:val="00321647"/>
    <w:rsid w:val="00321989"/>
    <w:rsid w:val="003243EC"/>
    <w:rsid w:val="003247CD"/>
    <w:rsid w:val="003362AD"/>
    <w:rsid w:val="00342688"/>
    <w:rsid w:val="0034440E"/>
    <w:rsid w:val="00347899"/>
    <w:rsid w:val="003518D6"/>
    <w:rsid w:val="00354B7A"/>
    <w:rsid w:val="00363966"/>
    <w:rsid w:val="003741B0"/>
    <w:rsid w:val="0038240C"/>
    <w:rsid w:val="0038359A"/>
    <w:rsid w:val="00387996"/>
    <w:rsid w:val="00391F03"/>
    <w:rsid w:val="003A1857"/>
    <w:rsid w:val="003A2368"/>
    <w:rsid w:val="003A27AF"/>
    <w:rsid w:val="003A593E"/>
    <w:rsid w:val="003A6775"/>
    <w:rsid w:val="003C0D7D"/>
    <w:rsid w:val="003C4858"/>
    <w:rsid w:val="003C5BB3"/>
    <w:rsid w:val="003D1170"/>
    <w:rsid w:val="003D1B8E"/>
    <w:rsid w:val="003D2393"/>
    <w:rsid w:val="003D2D72"/>
    <w:rsid w:val="003D36EE"/>
    <w:rsid w:val="003D6E0A"/>
    <w:rsid w:val="003F3518"/>
    <w:rsid w:val="003F504F"/>
    <w:rsid w:val="003F5101"/>
    <w:rsid w:val="003F5B69"/>
    <w:rsid w:val="003F639B"/>
    <w:rsid w:val="00404AF6"/>
    <w:rsid w:val="004105EF"/>
    <w:rsid w:val="00415A1A"/>
    <w:rsid w:val="0042326A"/>
    <w:rsid w:val="00423F96"/>
    <w:rsid w:val="00430878"/>
    <w:rsid w:val="00431F4F"/>
    <w:rsid w:val="0043351E"/>
    <w:rsid w:val="00433676"/>
    <w:rsid w:val="0043613F"/>
    <w:rsid w:val="00436504"/>
    <w:rsid w:val="00437E20"/>
    <w:rsid w:val="004405C7"/>
    <w:rsid w:val="00441D39"/>
    <w:rsid w:val="00442AF8"/>
    <w:rsid w:val="0044514A"/>
    <w:rsid w:val="00447E59"/>
    <w:rsid w:val="00457DC2"/>
    <w:rsid w:val="004733D3"/>
    <w:rsid w:val="00487315"/>
    <w:rsid w:val="00494624"/>
    <w:rsid w:val="00495001"/>
    <w:rsid w:val="004A112E"/>
    <w:rsid w:val="004A1631"/>
    <w:rsid w:val="004A76F2"/>
    <w:rsid w:val="004B51E3"/>
    <w:rsid w:val="004B58BC"/>
    <w:rsid w:val="004B6ED7"/>
    <w:rsid w:val="004D1209"/>
    <w:rsid w:val="004D4247"/>
    <w:rsid w:val="004D67CC"/>
    <w:rsid w:val="004D7237"/>
    <w:rsid w:val="004D794D"/>
    <w:rsid w:val="004D7FCB"/>
    <w:rsid w:val="004E0C05"/>
    <w:rsid w:val="004E33D2"/>
    <w:rsid w:val="004E3473"/>
    <w:rsid w:val="004F1425"/>
    <w:rsid w:val="004F3309"/>
    <w:rsid w:val="00500A8F"/>
    <w:rsid w:val="005034E3"/>
    <w:rsid w:val="0050739A"/>
    <w:rsid w:val="005100DC"/>
    <w:rsid w:val="00511660"/>
    <w:rsid w:val="00512A0D"/>
    <w:rsid w:val="00517CCE"/>
    <w:rsid w:val="005229A0"/>
    <w:rsid w:val="00522D50"/>
    <w:rsid w:val="00527D92"/>
    <w:rsid w:val="00531BAF"/>
    <w:rsid w:val="00537781"/>
    <w:rsid w:val="005409DB"/>
    <w:rsid w:val="00542C62"/>
    <w:rsid w:val="00543F5F"/>
    <w:rsid w:val="00545698"/>
    <w:rsid w:val="00546149"/>
    <w:rsid w:val="00550148"/>
    <w:rsid w:val="00555089"/>
    <w:rsid w:val="005565F1"/>
    <w:rsid w:val="00562259"/>
    <w:rsid w:val="005655BD"/>
    <w:rsid w:val="00566ADA"/>
    <w:rsid w:val="00571F99"/>
    <w:rsid w:val="00573B46"/>
    <w:rsid w:val="00573C8F"/>
    <w:rsid w:val="00576C5E"/>
    <w:rsid w:val="00577C17"/>
    <w:rsid w:val="00580957"/>
    <w:rsid w:val="005824FB"/>
    <w:rsid w:val="005826AA"/>
    <w:rsid w:val="00586955"/>
    <w:rsid w:val="00592226"/>
    <w:rsid w:val="00594240"/>
    <w:rsid w:val="005955BA"/>
    <w:rsid w:val="005A0B59"/>
    <w:rsid w:val="005A0E9F"/>
    <w:rsid w:val="005A175C"/>
    <w:rsid w:val="005A245A"/>
    <w:rsid w:val="005A2C7B"/>
    <w:rsid w:val="005A328C"/>
    <w:rsid w:val="005B0F9A"/>
    <w:rsid w:val="005B1A42"/>
    <w:rsid w:val="005B4DB1"/>
    <w:rsid w:val="005C162E"/>
    <w:rsid w:val="005C417A"/>
    <w:rsid w:val="005D22FC"/>
    <w:rsid w:val="005D3D41"/>
    <w:rsid w:val="005D736F"/>
    <w:rsid w:val="005E4F70"/>
    <w:rsid w:val="005E7CE8"/>
    <w:rsid w:val="005F162E"/>
    <w:rsid w:val="005F16C3"/>
    <w:rsid w:val="005F328B"/>
    <w:rsid w:val="005F74F3"/>
    <w:rsid w:val="00605A28"/>
    <w:rsid w:val="006109EF"/>
    <w:rsid w:val="00614E98"/>
    <w:rsid w:val="0062295C"/>
    <w:rsid w:val="00623AD2"/>
    <w:rsid w:val="00632B51"/>
    <w:rsid w:val="00633021"/>
    <w:rsid w:val="00636962"/>
    <w:rsid w:val="006376A9"/>
    <w:rsid w:val="006438E7"/>
    <w:rsid w:val="00644C71"/>
    <w:rsid w:val="006462FA"/>
    <w:rsid w:val="00652AC8"/>
    <w:rsid w:val="00657340"/>
    <w:rsid w:val="00660EBB"/>
    <w:rsid w:val="00663119"/>
    <w:rsid w:val="00663CC5"/>
    <w:rsid w:val="00670660"/>
    <w:rsid w:val="00675445"/>
    <w:rsid w:val="006806AB"/>
    <w:rsid w:val="00684D69"/>
    <w:rsid w:val="00686AF3"/>
    <w:rsid w:val="006928F3"/>
    <w:rsid w:val="006952F5"/>
    <w:rsid w:val="006A0150"/>
    <w:rsid w:val="006A350C"/>
    <w:rsid w:val="006A5596"/>
    <w:rsid w:val="006A6269"/>
    <w:rsid w:val="006A6A9F"/>
    <w:rsid w:val="006B4620"/>
    <w:rsid w:val="006C1B42"/>
    <w:rsid w:val="006C56C9"/>
    <w:rsid w:val="006D144F"/>
    <w:rsid w:val="006D567B"/>
    <w:rsid w:val="006D79F6"/>
    <w:rsid w:val="006E0B76"/>
    <w:rsid w:val="006E1665"/>
    <w:rsid w:val="006E1CF0"/>
    <w:rsid w:val="006E2EB3"/>
    <w:rsid w:val="006E3EAB"/>
    <w:rsid w:val="006E521B"/>
    <w:rsid w:val="006F30B4"/>
    <w:rsid w:val="006F46C3"/>
    <w:rsid w:val="006F6474"/>
    <w:rsid w:val="006F6E12"/>
    <w:rsid w:val="00701A84"/>
    <w:rsid w:val="00705859"/>
    <w:rsid w:val="00706041"/>
    <w:rsid w:val="00710F59"/>
    <w:rsid w:val="007123AF"/>
    <w:rsid w:val="00712A96"/>
    <w:rsid w:val="00712FF3"/>
    <w:rsid w:val="00721056"/>
    <w:rsid w:val="00725C94"/>
    <w:rsid w:val="00726A6C"/>
    <w:rsid w:val="00726B23"/>
    <w:rsid w:val="00726DB7"/>
    <w:rsid w:val="00727E29"/>
    <w:rsid w:val="00733083"/>
    <w:rsid w:val="007404E5"/>
    <w:rsid w:val="00742B21"/>
    <w:rsid w:val="00744517"/>
    <w:rsid w:val="007445A6"/>
    <w:rsid w:val="00750137"/>
    <w:rsid w:val="0075115C"/>
    <w:rsid w:val="00755157"/>
    <w:rsid w:val="00766147"/>
    <w:rsid w:val="00766DD4"/>
    <w:rsid w:val="00770518"/>
    <w:rsid w:val="007724D2"/>
    <w:rsid w:val="00772E30"/>
    <w:rsid w:val="007769FC"/>
    <w:rsid w:val="00777B21"/>
    <w:rsid w:val="00780470"/>
    <w:rsid w:val="007861D1"/>
    <w:rsid w:val="00790A94"/>
    <w:rsid w:val="007911B2"/>
    <w:rsid w:val="00797ACE"/>
    <w:rsid w:val="007A08F7"/>
    <w:rsid w:val="007A1E5B"/>
    <w:rsid w:val="007A36C9"/>
    <w:rsid w:val="007A5188"/>
    <w:rsid w:val="007A6512"/>
    <w:rsid w:val="007A67FD"/>
    <w:rsid w:val="007B3D71"/>
    <w:rsid w:val="007B5213"/>
    <w:rsid w:val="007B7DDF"/>
    <w:rsid w:val="007C292F"/>
    <w:rsid w:val="007D07A2"/>
    <w:rsid w:val="007D16DC"/>
    <w:rsid w:val="007D4C26"/>
    <w:rsid w:val="007D5CBB"/>
    <w:rsid w:val="007D6572"/>
    <w:rsid w:val="007D7740"/>
    <w:rsid w:val="007E0563"/>
    <w:rsid w:val="007E6590"/>
    <w:rsid w:val="007E78FD"/>
    <w:rsid w:val="007F0FAC"/>
    <w:rsid w:val="007F33A5"/>
    <w:rsid w:val="007F55F9"/>
    <w:rsid w:val="007F6A96"/>
    <w:rsid w:val="008016DA"/>
    <w:rsid w:val="00803D1B"/>
    <w:rsid w:val="00804854"/>
    <w:rsid w:val="00805D01"/>
    <w:rsid w:val="00814ACE"/>
    <w:rsid w:val="0081682E"/>
    <w:rsid w:val="00822B05"/>
    <w:rsid w:val="00823971"/>
    <w:rsid w:val="00826534"/>
    <w:rsid w:val="00826C28"/>
    <w:rsid w:val="00833E5B"/>
    <w:rsid w:val="00842D0A"/>
    <w:rsid w:val="00842DD8"/>
    <w:rsid w:val="0084602F"/>
    <w:rsid w:val="00847755"/>
    <w:rsid w:val="00851FB3"/>
    <w:rsid w:val="0085267C"/>
    <w:rsid w:val="008567AE"/>
    <w:rsid w:val="008602E0"/>
    <w:rsid w:val="008625DD"/>
    <w:rsid w:val="008631FE"/>
    <w:rsid w:val="00865A18"/>
    <w:rsid w:val="00877B50"/>
    <w:rsid w:val="00880C4E"/>
    <w:rsid w:val="00884568"/>
    <w:rsid w:val="00886D39"/>
    <w:rsid w:val="008936E5"/>
    <w:rsid w:val="008A0C4A"/>
    <w:rsid w:val="008A3781"/>
    <w:rsid w:val="008A4F8A"/>
    <w:rsid w:val="008A5485"/>
    <w:rsid w:val="008A6265"/>
    <w:rsid w:val="008B4958"/>
    <w:rsid w:val="008C1519"/>
    <w:rsid w:val="008C4D93"/>
    <w:rsid w:val="008D0EA5"/>
    <w:rsid w:val="008D1879"/>
    <w:rsid w:val="008D2B4F"/>
    <w:rsid w:val="008F2DB6"/>
    <w:rsid w:val="008F78BF"/>
    <w:rsid w:val="0090152F"/>
    <w:rsid w:val="00905AE6"/>
    <w:rsid w:val="009102B1"/>
    <w:rsid w:val="00913DA9"/>
    <w:rsid w:val="00915BD0"/>
    <w:rsid w:val="009165B6"/>
    <w:rsid w:val="0091764F"/>
    <w:rsid w:val="00922D1D"/>
    <w:rsid w:val="0092577B"/>
    <w:rsid w:val="00926831"/>
    <w:rsid w:val="00937163"/>
    <w:rsid w:val="00942FF5"/>
    <w:rsid w:val="00943B39"/>
    <w:rsid w:val="00943F58"/>
    <w:rsid w:val="0094443B"/>
    <w:rsid w:val="0094784E"/>
    <w:rsid w:val="0094793B"/>
    <w:rsid w:val="00956336"/>
    <w:rsid w:val="0096197F"/>
    <w:rsid w:val="009635CE"/>
    <w:rsid w:val="00964882"/>
    <w:rsid w:val="009678EF"/>
    <w:rsid w:val="00972737"/>
    <w:rsid w:val="00972D10"/>
    <w:rsid w:val="00976894"/>
    <w:rsid w:val="0098095B"/>
    <w:rsid w:val="00981293"/>
    <w:rsid w:val="009816BB"/>
    <w:rsid w:val="00984168"/>
    <w:rsid w:val="0098473F"/>
    <w:rsid w:val="0098548A"/>
    <w:rsid w:val="00987946"/>
    <w:rsid w:val="009914DB"/>
    <w:rsid w:val="00993DD3"/>
    <w:rsid w:val="0099765D"/>
    <w:rsid w:val="009A21F7"/>
    <w:rsid w:val="009A4E18"/>
    <w:rsid w:val="009A6828"/>
    <w:rsid w:val="009B115E"/>
    <w:rsid w:val="009B54E6"/>
    <w:rsid w:val="009C42F0"/>
    <w:rsid w:val="009C5D2B"/>
    <w:rsid w:val="009D0A6C"/>
    <w:rsid w:val="009E280D"/>
    <w:rsid w:val="009E77CE"/>
    <w:rsid w:val="009F0479"/>
    <w:rsid w:val="009F1AC6"/>
    <w:rsid w:val="009F3D52"/>
    <w:rsid w:val="009F42B3"/>
    <w:rsid w:val="009F46DE"/>
    <w:rsid w:val="009F7053"/>
    <w:rsid w:val="00A00218"/>
    <w:rsid w:val="00A01041"/>
    <w:rsid w:val="00A013E6"/>
    <w:rsid w:val="00A059CF"/>
    <w:rsid w:val="00A05EDA"/>
    <w:rsid w:val="00A160BA"/>
    <w:rsid w:val="00A161A9"/>
    <w:rsid w:val="00A20C87"/>
    <w:rsid w:val="00A214E6"/>
    <w:rsid w:val="00A236AA"/>
    <w:rsid w:val="00A239C4"/>
    <w:rsid w:val="00A24AE5"/>
    <w:rsid w:val="00A27544"/>
    <w:rsid w:val="00A27AD2"/>
    <w:rsid w:val="00A31FBE"/>
    <w:rsid w:val="00A33FE5"/>
    <w:rsid w:val="00A443E0"/>
    <w:rsid w:val="00A51D94"/>
    <w:rsid w:val="00A549E2"/>
    <w:rsid w:val="00A63667"/>
    <w:rsid w:val="00A64CFB"/>
    <w:rsid w:val="00A660F9"/>
    <w:rsid w:val="00A663FC"/>
    <w:rsid w:val="00A7108D"/>
    <w:rsid w:val="00A71821"/>
    <w:rsid w:val="00A72400"/>
    <w:rsid w:val="00A75AAB"/>
    <w:rsid w:val="00A77C2A"/>
    <w:rsid w:val="00A8366F"/>
    <w:rsid w:val="00A86BC1"/>
    <w:rsid w:val="00A909F4"/>
    <w:rsid w:val="00A90FFC"/>
    <w:rsid w:val="00A93CEE"/>
    <w:rsid w:val="00A95DBF"/>
    <w:rsid w:val="00A97ECB"/>
    <w:rsid w:val="00AA77E6"/>
    <w:rsid w:val="00AB22FD"/>
    <w:rsid w:val="00AB249C"/>
    <w:rsid w:val="00AB3141"/>
    <w:rsid w:val="00AB5EF7"/>
    <w:rsid w:val="00AB609D"/>
    <w:rsid w:val="00AB66B8"/>
    <w:rsid w:val="00AC0D1C"/>
    <w:rsid w:val="00AC2268"/>
    <w:rsid w:val="00AD4BF6"/>
    <w:rsid w:val="00AD75D8"/>
    <w:rsid w:val="00AD7CAC"/>
    <w:rsid w:val="00AD7DE4"/>
    <w:rsid w:val="00AE2EAF"/>
    <w:rsid w:val="00AE3D01"/>
    <w:rsid w:val="00AE4FC4"/>
    <w:rsid w:val="00AE5260"/>
    <w:rsid w:val="00AE5CF7"/>
    <w:rsid w:val="00AE67B6"/>
    <w:rsid w:val="00AF08A4"/>
    <w:rsid w:val="00AF3442"/>
    <w:rsid w:val="00AF49A0"/>
    <w:rsid w:val="00AF5D13"/>
    <w:rsid w:val="00AF7CFA"/>
    <w:rsid w:val="00B05EB7"/>
    <w:rsid w:val="00B0641E"/>
    <w:rsid w:val="00B065F5"/>
    <w:rsid w:val="00B17226"/>
    <w:rsid w:val="00B1739F"/>
    <w:rsid w:val="00B17C7E"/>
    <w:rsid w:val="00B20435"/>
    <w:rsid w:val="00B2193F"/>
    <w:rsid w:val="00B34169"/>
    <w:rsid w:val="00B37C5F"/>
    <w:rsid w:val="00B40DB4"/>
    <w:rsid w:val="00B43529"/>
    <w:rsid w:val="00B45828"/>
    <w:rsid w:val="00B46489"/>
    <w:rsid w:val="00B51807"/>
    <w:rsid w:val="00B51D11"/>
    <w:rsid w:val="00B52304"/>
    <w:rsid w:val="00B568D1"/>
    <w:rsid w:val="00B56F9E"/>
    <w:rsid w:val="00B6040F"/>
    <w:rsid w:val="00B60C4A"/>
    <w:rsid w:val="00B60D18"/>
    <w:rsid w:val="00B70AB4"/>
    <w:rsid w:val="00B70E4F"/>
    <w:rsid w:val="00B76B4B"/>
    <w:rsid w:val="00B82CF7"/>
    <w:rsid w:val="00B82E6C"/>
    <w:rsid w:val="00B83DB7"/>
    <w:rsid w:val="00B83E5B"/>
    <w:rsid w:val="00B840FF"/>
    <w:rsid w:val="00B850F5"/>
    <w:rsid w:val="00B86D09"/>
    <w:rsid w:val="00B923D8"/>
    <w:rsid w:val="00B924CB"/>
    <w:rsid w:val="00BA1742"/>
    <w:rsid w:val="00BA6A1E"/>
    <w:rsid w:val="00BA73D9"/>
    <w:rsid w:val="00BA779B"/>
    <w:rsid w:val="00BA7B36"/>
    <w:rsid w:val="00BB14E3"/>
    <w:rsid w:val="00BB6955"/>
    <w:rsid w:val="00BC31D7"/>
    <w:rsid w:val="00BC62D1"/>
    <w:rsid w:val="00BC7BDB"/>
    <w:rsid w:val="00BD0888"/>
    <w:rsid w:val="00BD2382"/>
    <w:rsid w:val="00BD38A7"/>
    <w:rsid w:val="00BD4CB1"/>
    <w:rsid w:val="00BD5685"/>
    <w:rsid w:val="00BD58EC"/>
    <w:rsid w:val="00BD5F19"/>
    <w:rsid w:val="00BD6C5E"/>
    <w:rsid w:val="00BD7122"/>
    <w:rsid w:val="00BE1F7A"/>
    <w:rsid w:val="00BF1F32"/>
    <w:rsid w:val="00BF7CA8"/>
    <w:rsid w:val="00C000E6"/>
    <w:rsid w:val="00C10A53"/>
    <w:rsid w:val="00C11B1A"/>
    <w:rsid w:val="00C13744"/>
    <w:rsid w:val="00C1558A"/>
    <w:rsid w:val="00C16E65"/>
    <w:rsid w:val="00C26A17"/>
    <w:rsid w:val="00C409F2"/>
    <w:rsid w:val="00C40EFF"/>
    <w:rsid w:val="00C426BD"/>
    <w:rsid w:val="00C428F5"/>
    <w:rsid w:val="00C452D2"/>
    <w:rsid w:val="00C473A5"/>
    <w:rsid w:val="00C50F27"/>
    <w:rsid w:val="00C561A1"/>
    <w:rsid w:val="00C57185"/>
    <w:rsid w:val="00C60374"/>
    <w:rsid w:val="00C65F10"/>
    <w:rsid w:val="00C737E3"/>
    <w:rsid w:val="00C74CE6"/>
    <w:rsid w:val="00C750F1"/>
    <w:rsid w:val="00C75D0D"/>
    <w:rsid w:val="00C77D07"/>
    <w:rsid w:val="00C8459E"/>
    <w:rsid w:val="00C9312C"/>
    <w:rsid w:val="00C97B27"/>
    <w:rsid w:val="00CA54D2"/>
    <w:rsid w:val="00CB10FE"/>
    <w:rsid w:val="00CB1F5E"/>
    <w:rsid w:val="00CB2000"/>
    <w:rsid w:val="00CB621C"/>
    <w:rsid w:val="00CC02F2"/>
    <w:rsid w:val="00CC247B"/>
    <w:rsid w:val="00CC69FA"/>
    <w:rsid w:val="00CC6B34"/>
    <w:rsid w:val="00CD09B4"/>
    <w:rsid w:val="00CD6EE8"/>
    <w:rsid w:val="00CD737F"/>
    <w:rsid w:val="00CD7773"/>
    <w:rsid w:val="00CE4AF8"/>
    <w:rsid w:val="00CE691B"/>
    <w:rsid w:val="00CE78B9"/>
    <w:rsid w:val="00CF48A1"/>
    <w:rsid w:val="00CF5CD9"/>
    <w:rsid w:val="00CF67F1"/>
    <w:rsid w:val="00D01E73"/>
    <w:rsid w:val="00D0314D"/>
    <w:rsid w:val="00D0344C"/>
    <w:rsid w:val="00D0532F"/>
    <w:rsid w:val="00D05F0E"/>
    <w:rsid w:val="00D10DA3"/>
    <w:rsid w:val="00D13DA8"/>
    <w:rsid w:val="00D2665C"/>
    <w:rsid w:val="00D31A22"/>
    <w:rsid w:val="00D32CD6"/>
    <w:rsid w:val="00D355AF"/>
    <w:rsid w:val="00D4185E"/>
    <w:rsid w:val="00D424F4"/>
    <w:rsid w:val="00D4426F"/>
    <w:rsid w:val="00D47B11"/>
    <w:rsid w:val="00D61E00"/>
    <w:rsid w:val="00D70B9C"/>
    <w:rsid w:val="00D71AF2"/>
    <w:rsid w:val="00D73671"/>
    <w:rsid w:val="00D74914"/>
    <w:rsid w:val="00D7638D"/>
    <w:rsid w:val="00D765FC"/>
    <w:rsid w:val="00D8264B"/>
    <w:rsid w:val="00D8313F"/>
    <w:rsid w:val="00D9028D"/>
    <w:rsid w:val="00D90E2B"/>
    <w:rsid w:val="00D91F21"/>
    <w:rsid w:val="00D935CD"/>
    <w:rsid w:val="00D94273"/>
    <w:rsid w:val="00D944A0"/>
    <w:rsid w:val="00D946E9"/>
    <w:rsid w:val="00DA0916"/>
    <w:rsid w:val="00DA7EB6"/>
    <w:rsid w:val="00DB17DE"/>
    <w:rsid w:val="00DB1F46"/>
    <w:rsid w:val="00DB2502"/>
    <w:rsid w:val="00DB3854"/>
    <w:rsid w:val="00DB45CC"/>
    <w:rsid w:val="00DB7E41"/>
    <w:rsid w:val="00DC1BF6"/>
    <w:rsid w:val="00DC3A4D"/>
    <w:rsid w:val="00DC4FA6"/>
    <w:rsid w:val="00DC500F"/>
    <w:rsid w:val="00DC76AE"/>
    <w:rsid w:val="00DD230C"/>
    <w:rsid w:val="00DD2358"/>
    <w:rsid w:val="00DE0C34"/>
    <w:rsid w:val="00DE2DF3"/>
    <w:rsid w:val="00DE3B31"/>
    <w:rsid w:val="00DE7014"/>
    <w:rsid w:val="00DF58D7"/>
    <w:rsid w:val="00E00B48"/>
    <w:rsid w:val="00E030EE"/>
    <w:rsid w:val="00E108C3"/>
    <w:rsid w:val="00E11F03"/>
    <w:rsid w:val="00E120B9"/>
    <w:rsid w:val="00E13758"/>
    <w:rsid w:val="00E148F3"/>
    <w:rsid w:val="00E151DA"/>
    <w:rsid w:val="00E15382"/>
    <w:rsid w:val="00E20944"/>
    <w:rsid w:val="00E238A2"/>
    <w:rsid w:val="00E27256"/>
    <w:rsid w:val="00E3243B"/>
    <w:rsid w:val="00E335D8"/>
    <w:rsid w:val="00E33707"/>
    <w:rsid w:val="00E34005"/>
    <w:rsid w:val="00E40E23"/>
    <w:rsid w:val="00E413AB"/>
    <w:rsid w:val="00E43274"/>
    <w:rsid w:val="00E4665E"/>
    <w:rsid w:val="00E53F38"/>
    <w:rsid w:val="00E64E71"/>
    <w:rsid w:val="00E73E35"/>
    <w:rsid w:val="00E807BA"/>
    <w:rsid w:val="00E80F7E"/>
    <w:rsid w:val="00E8164C"/>
    <w:rsid w:val="00E82B5F"/>
    <w:rsid w:val="00E90D94"/>
    <w:rsid w:val="00E95194"/>
    <w:rsid w:val="00E96F65"/>
    <w:rsid w:val="00EA5BBB"/>
    <w:rsid w:val="00EB10A7"/>
    <w:rsid w:val="00EB2328"/>
    <w:rsid w:val="00EB48A2"/>
    <w:rsid w:val="00EB6DE7"/>
    <w:rsid w:val="00EB71F5"/>
    <w:rsid w:val="00EC4440"/>
    <w:rsid w:val="00EC6890"/>
    <w:rsid w:val="00ED694A"/>
    <w:rsid w:val="00ED76D9"/>
    <w:rsid w:val="00F0031B"/>
    <w:rsid w:val="00F060A4"/>
    <w:rsid w:val="00F06124"/>
    <w:rsid w:val="00F07523"/>
    <w:rsid w:val="00F10F7C"/>
    <w:rsid w:val="00F15D39"/>
    <w:rsid w:val="00F16B10"/>
    <w:rsid w:val="00F231AB"/>
    <w:rsid w:val="00F24BB1"/>
    <w:rsid w:val="00F304EE"/>
    <w:rsid w:val="00F31887"/>
    <w:rsid w:val="00F35671"/>
    <w:rsid w:val="00F37F12"/>
    <w:rsid w:val="00F400C4"/>
    <w:rsid w:val="00F41E90"/>
    <w:rsid w:val="00F4710F"/>
    <w:rsid w:val="00F53A81"/>
    <w:rsid w:val="00F56016"/>
    <w:rsid w:val="00F57D8D"/>
    <w:rsid w:val="00F60E88"/>
    <w:rsid w:val="00F73B29"/>
    <w:rsid w:val="00F757F6"/>
    <w:rsid w:val="00F823B7"/>
    <w:rsid w:val="00F82B69"/>
    <w:rsid w:val="00F84961"/>
    <w:rsid w:val="00F86321"/>
    <w:rsid w:val="00F91188"/>
    <w:rsid w:val="00F9546C"/>
    <w:rsid w:val="00F96CF9"/>
    <w:rsid w:val="00F97B72"/>
    <w:rsid w:val="00FA10A8"/>
    <w:rsid w:val="00FA1427"/>
    <w:rsid w:val="00FA45BA"/>
    <w:rsid w:val="00FA5296"/>
    <w:rsid w:val="00FB1F93"/>
    <w:rsid w:val="00FB48DF"/>
    <w:rsid w:val="00FB5972"/>
    <w:rsid w:val="00FB632F"/>
    <w:rsid w:val="00FC3BAF"/>
    <w:rsid w:val="00FC5824"/>
    <w:rsid w:val="00FC5D22"/>
    <w:rsid w:val="00FD01BA"/>
    <w:rsid w:val="00FD0CA5"/>
    <w:rsid w:val="00FD1B32"/>
    <w:rsid w:val="00FD4012"/>
    <w:rsid w:val="00FE20F3"/>
    <w:rsid w:val="00FE4D45"/>
    <w:rsid w:val="00FE7070"/>
    <w:rsid w:val="00FF460F"/>
    <w:rsid w:val="00FF4F25"/>
    <w:rsid w:val="00FF6B57"/>
    <w:rsid w:val="018A73B0"/>
    <w:rsid w:val="01D35FC9"/>
    <w:rsid w:val="024261A6"/>
    <w:rsid w:val="0379139B"/>
    <w:rsid w:val="03A367D0"/>
    <w:rsid w:val="03E56DE9"/>
    <w:rsid w:val="041913BC"/>
    <w:rsid w:val="05D20CC1"/>
    <w:rsid w:val="067F27C6"/>
    <w:rsid w:val="07CC5373"/>
    <w:rsid w:val="091D1F66"/>
    <w:rsid w:val="09EA39F6"/>
    <w:rsid w:val="0E967D6D"/>
    <w:rsid w:val="0EFD148A"/>
    <w:rsid w:val="0F647287"/>
    <w:rsid w:val="10D040B5"/>
    <w:rsid w:val="10FE505F"/>
    <w:rsid w:val="12174F59"/>
    <w:rsid w:val="123E24E6"/>
    <w:rsid w:val="125D0444"/>
    <w:rsid w:val="12647080"/>
    <w:rsid w:val="12D469A6"/>
    <w:rsid w:val="12DC2193"/>
    <w:rsid w:val="143420A3"/>
    <w:rsid w:val="16646293"/>
    <w:rsid w:val="171B3F42"/>
    <w:rsid w:val="17F2297D"/>
    <w:rsid w:val="188F34C0"/>
    <w:rsid w:val="18C40531"/>
    <w:rsid w:val="19244E8C"/>
    <w:rsid w:val="196E0440"/>
    <w:rsid w:val="199D3E9B"/>
    <w:rsid w:val="19B52391"/>
    <w:rsid w:val="1A131B75"/>
    <w:rsid w:val="1ADF6CAF"/>
    <w:rsid w:val="1B9A4796"/>
    <w:rsid w:val="1C901B90"/>
    <w:rsid w:val="1C964CCC"/>
    <w:rsid w:val="1CA67605"/>
    <w:rsid w:val="1CBF0BC6"/>
    <w:rsid w:val="1D083E1C"/>
    <w:rsid w:val="1D927B8A"/>
    <w:rsid w:val="1EBF675C"/>
    <w:rsid w:val="1F0C74C8"/>
    <w:rsid w:val="1FC830F8"/>
    <w:rsid w:val="1FE03F10"/>
    <w:rsid w:val="20AA6F98"/>
    <w:rsid w:val="222D2E31"/>
    <w:rsid w:val="22934188"/>
    <w:rsid w:val="22EE5862"/>
    <w:rsid w:val="23C259A8"/>
    <w:rsid w:val="25496E57"/>
    <w:rsid w:val="25B702A4"/>
    <w:rsid w:val="269C4EE7"/>
    <w:rsid w:val="276B56D3"/>
    <w:rsid w:val="27DA0BF6"/>
    <w:rsid w:val="28105227"/>
    <w:rsid w:val="287C62B9"/>
    <w:rsid w:val="28D23530"/>
    <w:rsid w:val="29615A57"/>
    <w:rsid w:val="2A135BAE"/>
    <w:rsid w:val="2A6049EC"/>
    <w:rsid w:val="2B75442B"/>
    <w:rsid w:val="2BEE242F"/>
    <w:rsid w:val="2C9E30CA"/>
    <w:rsid w:val="2CFE5EAE"/>
    <w:rsid w:val="2D2F7431"/>
    <w:rsid w:val="2E0C4DEE"/>
    <w:rsid w:val="2F54279A"/>
    <w:rsid w:val="2FA641A7"/>
    <w:rsid w:val="31472444"/>
    <w:rsid w:val="33CE2500"/>
    <w:rsid w:val="342033A2"/>
    <w:rsid w:val="34F4395C"/>
    <w:rsid w:val="353B41AE"/>
    <w:rsid w:val="35DE500B"/>
    <w:rsid w:val="36414C8A"/>
    <w:rsid w:val="367A4157"/>
    <w:rsid w:val="36AD01BE"/>
    <w:rsid w:val="3750193C"/>
    <w:rsid w:val="37CB09F5"/>
    <w:rsid w:val="38C52157"/>
    <w:rsid w:val="38FC4980"/>
    <w:rsid w:val="39994154"/>
    <w:rsid w:val="3A0B6C43"/>
    <w:rsid w:val="3A157721"/>
    <w:rsid w:val="3ABE3914"/>
    <w:rsid w:val="3BC875A5"/>
    <w:rsid w:val="3C797AF3"/>
    <w:rsid w:val="3CAB1F04"/>
    <w:rsid w:val="3CAD7C6B"/>
    <w:rsid w:val="3D7109D2"/>
    <w:rsid w:val="3EFC5A2A"/>
    <w:rsid w:val="3F055FB6"/>
    <w:rsid w:val="3F3B7EA7"/>
    <w:rsid w:val="3F633410"/>
    <w:rsid w:val="4004626D"/>
    <w:rsid w:val="40464190"/>
    <w:rsid w:val="405477FF"/>
    <w:rsid w:val="41E73ED5"/>
    <w:rsid w:val="420D711B"/>
    <w:rsid w:val="432D5ADB"/>
    <w:rsid w:val="4360716E"/>
    <w:rsid w:val="440054AD"/>
    <w:rsid w:val="4530540F"/>
    <w:rsid w:val="45B47DEE"/>
    <w:rsid w:val="45CA67D0"/>
    <w:rsid w:val="463053C5"/>
    <w:rsid w:val="468C2B19"/>
    <w:rsid w:val="46E963F9"/>
    <w:rsid w:val="47AD4C9A"/>
    <w:rsid w:val="47BF45D4"/>
    <w:rsid w:val="47F53C79"/>
    <w:rsid w:val="484E2B86"/>
    <w:rsid w:val="486C1132"/>
    <w:rsid w:val="48807943"/>
    <w:rsid w:val="48B408CC"/>
    <w:rsid w:val="499E15FE"/>
    <w:rsid w:val="4AD36F68"/>
    <w:rsid w:val="4B5D2CD5"/>
    <w:rsid w:val="4C6E7DAD"/>
    <w:rsid w:val="4D0A10F0"/>
    <w:rsid w:val="4D9A5B1B"/>
    <w:rsid w:val="4E070B9A"/>
    <w:rsid w:val="4E50219D"/>
    <w:rsid w:val="4F135B85"/>
    <w:rsid w:val="4F4641AC"/>
    <w:rsid w:val="4F5902E8"/>
    <w:rsid w:val="4FD150FA"/>
    <w:rsid w:val="503A35E5"/>
    <w:rsid w:val="50847EDE"/>
    <w:rsid w:val="513060E7"/>
    <w:rsid w:val="51CC64BF"/>
    <w:rsid w:val="52231FE4"/>
    <w:rsid w:val="52BE22AC"/>
    <w:rsid w:val="52E85DA3"/>
    <w:rsid w:val="53285A20"/>
    <w:rsid w:val="533935FE"/>
    <w:rsid w:val="535B35DE"/>
    <w:rsid w:val="55814216"/>
    <w:rsid w:val="57B40121"/>
    <w:rsid w:val="57F64DC6"/>
    <w:rsid w:val="599231EE"/>
    <w:rsid w:val="59C208D3"/>
    <w:rsid w:val="5A581238"/>
    <w:rsid w:val="5A907E55"/>
    <w:rsid w:val="5AB16789"/>
    <w:rsid w:val="5AE900E2"/>
    <w:rsid w:val="5B5C4D58"/>
    <w:rsid w:val="5C243387"/>
    <w:rsid w:val="5C332962"/>
    <w:rsid w:val="5C3F104F"/>
    <w:rsid w:val="5D35760E"/>
    <w:rsid w:val="5DE80B25"/>
    <w:rsid w:val="5DFB41A1"/>
    <w:rsid w:val="5E007CB6"/>
    <w:rsid w:val="5EC55836"/>
    <w:rsid w:val="5F5A31F7"/>
    <w:rsid w:val="5FA73D85"/>
    <w:rsid w:val="611F6F3D"/>
    <w:rsid w:val="61B825BC"/>
    <w:rsid w:val="61F507A4"/>
    <w:rsid w:val="62467BC8"/>
    <w:rsid w:val="62483940"/>
    <w:rsid w:val="62776161"/>
    <w:rsid w:val="628E0D36"/>
    <w:rsid w:val="62AE5B3C"/>
    <w:rsid w:val="63676AB2"/>
    <w:rsid w:val="636831B2"/>
    <w:rsid w:val="63774473"/>
    <w:rsid w:val="63AF13EF"/>
    <w:rsid w:val="64DA2C7F"/>
    <w:rsid w:val="66035B5B"/>
    <w:rsid w:val="68A564EF"/>
    <w:rsid w:val="699E7743"/>
    <w:rsid w:val="69B813AB"/>
    <w:rsid w:val="6B935512"/>
    <w:rsid w:val="6BEE023F"/>
    <w:rsid w:val="6C5E4225"/>
    <w:rsid w:val="6CB24EA6"/>
    <w:rsid w:val="6EF773B9"/>
    <w:rsid w:val="70017C18"/>
    <w:rsid w:val="70434C25"/>
    <w:rsid w:val="705F5105"/>
    <w:rsid w:val="70C3121E"/>
    <w:rsid w:val="72211FE4"/>
    <w:rsid w:val="725B76BF"/>
    <w:rsid w:val="74364A76"/>
    <w:rsid w:val="74D83200"/>
    <w:rsid w:val="74DB6201"/>
    <w:rsid w:val="7569051D"/>
    <w:rsid w:val="76165DD7"/>
    <w:rsid w:val="76DE441B"/>
    <w:rsid w:val="77204A34"/>
    <w:rsid w:val="77D45F4A"/>
    <w:rsid w:val="78166C68"/>
    <w:rsid w:val="788D2783"/>
    <w:rsid w:val="78CE0BEB"/>
    <w:rsid w:val="78DE109B"/>
    <w:rsid w:val="7910556F"/>
    <w:rsid w:val="79982FA7"/>
    <w:rsid w:val="79D904A2"/>
    <w:rsid w:val="79F6330A"/>
    <w:rsid w:val="7A087F53"/>
    <w:rsid w:val="7A9E5575"/>
    <w:rsid w:val="7BB80F12"/>
    <w:rsid w:val="7C266648"/>
    <w:rsid w:val="7C767368"/>
    <w:rsid w:val="7CC02349"/>
    <w:rsid w:val="7CE65DD7"/>
    <w:rsid w:val="7D5B4A17"/>
    <w:rsid w:val="7E2307FE"/>
    <w:rsid w:val="7E726562"/>
    <w:rsid w:val="7ED33CEE"/>
    <w:rsid w:val="7EE54599"/>
    <w:rsid w:val="7F4E65E2"/>
    <w:rsid w:val="7F5C338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楷体_GB2312"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qFormat="1" w:unhideWhenUsed="0" w:uiPriority="0" w:semiHidden="0" w:name="Body Text 3"/>
    <w:lsdException w:uiPriority="0" w:name="Body Text Indent 2"/>
    <w:lsdException w:qFormat="1" w:unhideWhenUsed="0" w:uiPriority="0" w:semiHidden="0" w:name="Body Text Indent 3"/>
    <w:lsdException w:uiPriority="0" w:name="Block Text"/>
    <w:lsdException w:qFormat="1" w:unhideWhenUsed="0" w:uiPriority="99"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6" w:lineRule="auto"/>
      <w:outlineLvl w:val="0"/>
    </w:pPr>
    <w:rPr>
      <w:rFonts w:ascii="Times New Roman" w:hAnsi="Times New Roman"/>
      <w:b/>
      <w:kern w:val="44"/>
      <w:sz w:val="44"/>
      <w:szCs w:val="20"/>
    </w:rPr>
  </w:style>
  <w:style w:type="paragraph" w:styleId="3">
    <w:name w:val="heading 2"/>
    <w:basedOn w:val="1"/>
    <w:next w:val="1"/>
    <w:qFormat/>
    <w:uiPriority w:val="0"/>
    <w:pPr>
      <w:keepNext/>
      <w:keepLines/>
      <w:spacing w:before="260" w:after="260" w:line="412" w:lineRule="auto"/>
      <w:outlineLvl w:val="1"/>
    </w:pPr>
    <w:rPr>
      <w:rFonts w:ascii="Arial" w:hAnsi="Arial" w:eastAsia="黑体"/>
      <w:b/>
      <w:sz w:val="32"/>
      <w:szCs w:val="20"/>
    </w:rPr>
  </w:style>
  <w:style w:type="paragraph" w:styleId="4">
    <w:name w:val="heading 3"/>
    <w:basedOn w:val="1"/>
    <w:next w:val="1"/>
    <w:qFormat/>
    <w:uiPriority w:val="0"/>
    <w:pPr>
      <w:keepNext/>
      <w:keepLines/>
      <w:spacing w:before="260" w:after="260" w:line="412" w:lineRule="auto"/>
      <w:ind w:firstLine="49" w:firstLineChars="49"/>
      <w:outlineLvl w:val="2"/>
    </w:pPr>
    <w:rPr>
      <w:rFonts w:ascii="黑体" w:eastAsia="黑体"/>
      <w:sz w:val="28"/>
      <w:szCs w:val="20"/>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qFormat/>
    <w:uiPriority w:val="39"/>
    <w:pPr>
      <w:ind w:left="1200" w:leftChars="1200"/>
    </w:pPr>
  </w:style>
  <w:style w:type="paragraph" w:styleId="6">
    <w:name w:val="Normal Indent"/>
    <w:basedOn w:val="1"/>
    <w:qFormat/>
    <w:uiPriority w:val="0"/>
    <w:pPr>
      <w:ind w:firstLine="420"/>
    </w:pPr>
  </w:style>
  <w:style w:type="paragraph" w:styleId="7">
    <w:name w:val="Document Map"/>
    <w:basedOn w:val="1"/>
    <w:qFormat/>
    <w:uiPriority w:val="0"/>
    <w:rPr>
      <w:rFonts w:ascii="宋体" w:cs="宋体"/>
      <w:sz w:val="18"/>
      <w:szCs w:val="18"/>
    </w:rPr>
  </w:style>
  <w:style w:type="paragraph" w:styleId="8">
    <w:name w:val="annotation text"/>
    <w:basedOn w:val="1"/>
    <w:link w:val="38"/>
    <w:qFormat/>
    <w:uiPriority w:val="0"/>
    <w:pPr>
      <w:jc w:val="left"/>
    </w:pPr>
    <w:rPr>
      <w:rFonts w:ascii="Times New Roman" w:hAnsi="Times New Roman"/>
      <w:szCs w:val="20"/>
    </w:rPr>
  </w:style>
  <w:style w:type="paragraph" w:styleId="9">
    <w:name w:val="Body Text 3"/>
    <w:basedOn w:val="1"/>
    <w:link w:val="39"/>
    <w:qFormat/>
    <w:uiPriority w:val="0"/>
    <w:rPr>
      <w:rFonts w:ascii="宋体"/>
      <w:sz w:val="24"/>
      <w:szCs w:val="20"/>
    </w:rPr>
  </w:style>
  <w:style w:type="paragraph" w:styleId="10">
    <w:name w:val="toc 5"/>
    <w:basedOn w:val="1"/>
    <w:next w:val="1"/>
    <w:qFormat/>
    <w:uiPriority w:val="39"/>
    <w:pPr>
      <w:ind w:left="800" w:leftChars="800"/>
    </w:pPr>
  </w:style>
  <w:style w:type="paragraph" w:styleId="11">
    <w:name w:val="toc 3"/>
    <w:basedOn w:val="1"/>
    <w:next w:val="1"/>
    <w:qFormat/>
    <w:uiPriority w:val="39"/>
    <w:pPr>
      <w:ind w:left="400" w:leftChars="400"/>
    </w:pPr>
  </w:style>
  <w:style w:type="paragraph" w:styleId="12">
    <w:name w:val="Plain Text"/>
    <w:basedOn w:val="1"/>
    <w:qFormat/>
    <w:uiPriority w:val="0"/>
    <w:rPr>
      <w:rFonts w:ascii="宋体"/>
    </w:rPr>
  </w:style>
  <w:style w:type="paragraph" w:styleId="13">
    <w:name w:val="toc 8"/>
    <w:basedOn w:val="1"/>
    <w:next w:val="1"/>
    <w:qFormat/>
    <w:uiPriority w:val="39"/>
    <w:pPr>
      <w:ind w:left="1400" w:leftChars="1400"/>
    </w:pPr>
  </w:style>
  <w:style w:type="paragraph" w:styleId="14">
    <w:name w:val="Date"/>
    <w:basedOn w:val="1"/>
    <w:next w:val="1"/>
    <w:qFormat/>
    <w:uiPriority w:val="0"/>
    <w:pPr>
      <w:ind w:left="2500" w:leftChars="2500"/>
    </w:pPr>
    <w:rPr>
      <w:rFonts w:ascii="Times New Roman" w:hAnsi="Times New Roman"/>
      <w:szCs w:val="20"/>
    </w:rPr>
  </w:style>
  <w:style w:type="paragraph" w:styleId="15">
    <w:name w:val="Balloon Text"/>
    <w:basedOn w:val="1"/>
    <w:qFormat/>
    <w:uiPriority w:val="0"/>
    <w:rPr>
      <w:rFonts w:ascii="Times New Roman" w:hAnsi="Times New Roman"/>
      <w:sz w:val="18"/>
      <w:szCs w:val="20"/>
    </w:rPr>
  </w:style>
  <w:style w:type="paragraph" w:styleId="16">
    <w:name w:val="footer"/>
    <w:basedOn w:val="1"/>
    <w:qFormat/>
    <w:uiPriority w:val="0"/>
    <w:pPr>
      <w:tabs>
        <w:tab w:val="center" w:pos="4153"/>
        <w:tab w:val="right" w:pos="8306"/>
      </w:tabs>
      <w:snapToGrid w:val="0"/>
      <w:jc w:val="left"/>
    </w:pPr>
    <w:rPr>
      <w:sz w:val="18"/>
    </w:rPr>
  </w:style>
  <w:style w:type="paragraph" w:styleId="17">
    <w:name w:val="header"/>
    <w:basedOn w:val="1"/>
    <w:qFormat/>
    <w:uiPriority w:val="0"/>
    <w:pPr>
      <w:tabs>
        <w:tab w:val="center" w:pos="4153"/>
        <w:tab w:val="right" w:pos="8306"/>
      </w:tabs>
      <w:snapToGrid w:val="0"/>
    </w:pPr>
    <w:rPr>
      <w:rFonts w:ascii="Times New Roman" w:hAnsi="Times New Roman"/>
      <w:sz w:val="18"/>
      <w:szCs w:val="20"/>
    </w:rPr>
  </w:style>
  <w:style w:type="paragraph" w:styleId="18">
    <w:name w:val="toc 1"/>
    <w:basedOn w:val="1"/>
    <w:next w:val="1"/>
    <w:qFormat/>
    <w:uiPriority w:val="39"/>
  </w:style>
  <w:style w:type="paragraph" w:styleId="19">
    <w:name w:val="toc 4"/>
    <w:basedOn w:val="1"/>
    <w:next w:val="1"/>
    <w:qFormat/>
    <w:uiPriority w:val="39"/>
    <w:pPr>
      <w:ind w:left="600" w:leftChars="600"/>
    </w:pPr>
  </w:style>
  <w:style w:type="paragraph" w:styleId="20">
    <w:name w:val="toc 6"/>
    <w:basedOn w:val="1"/>
    <w:next w:val="1"/>
    <w:qFormat/>
    <w:uiPriority w:val="39"/>
    <w:pPr>
      <w:ind w:left="1000" w:leftChars="1000"/>
    </w:pPr>
  </w:style>
  <w:style w:type="paragraph" w:styleId="21">
    <w:name w:val="Body Text Indent 3"/>
    <w:basedOn w:val="1"/>
    <w:qFormat/>
    <w:uiPriority w:val="0"/>
    <w:pPr>
      <w:spacing w:after="120"/>
      <w:ind w:left="200" w:leftChars="200"/>
    </w:pPr>
    <w:rPr>
      <w:sz w:val="16"/>
      <w:szCs w:val="16"/>
    </w:rPr>
  </w:style>
  <w:style w:type="paragraph" w:styleId="22">
    <w:name w:val="toc 2"/>
    <w:basedOn w:val="1"/>
    <w:next w:val="1"/>
    <w:qFormat/>
    <w:uiPriority w:val="39"/>
    <w:pPr>
      <w:ind w:left="200" w:leftChars="200"/>
    </w:pPr>
  </w:style>
  <w:style w:type="paragraph" w:styleId="23">
    <w:name w:val="toc 9"/>
    <w:basedOn w:val="1"/>
    <w:next w:val="1"/>
    <w:qFormat/>
    <w:uiPriority w:val="39"/>
    <w:pPr>
      <w:ind w:left="1600" w:leftChars="1600"/>
    </w:pPr>
  </w:style>
  <w:style w:type="paragraph" w:styleId="24">
    <w:name w:val="annotation subject"/>
    <w:basedOn w:val="8"/>
    <w:next w:val="8"/>
    <w:qFormat/>
    <w:uiPriority w:val="0"/>
  </w:style>
  <w:style w:type="table" w:styleId="26">
    <w:name w:val="Table Grid"/>
    <w:basedOn w:val="2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Strong"/>
    <w:qFormat/>
    <w:uiPriority w:val="0"/>
    <w:rPr>
      <w:b/>
      <w:bCs/>
    </w:rPr>
  </w:style>
  <w:style w:type="character" w:styleId="29">
    <w:name w:val="page number"/>
    <w:basedOn w:val="27"/>
    <w:qFormat/>
    <w:uiPriority w:val="0"/>
  </w:style>
  <w:style w:type="character" w:styleId="30">
    <w:name w:val="Hyperlink"/>
    <w:qFormat/>
    <w:uiPriority w:val="99"/>
    <w:rPr>
      <w:color w:val="0000FF"/>
      <w:u w:val="single"/>
    </w:rPr>
  </w:style>
  <w:style w:type="character" w:styleId="31">
    <w:name w:val="annotation reference"/>
    <w:qFormat/>
    <w:uiPriority w:val="0"/>
    <w:rPr>
      <w:sz w:val="21"/>
    </w:rPr>
  </w:style>
  <w:style w:type="character" w:customStyle="1" w:styleId="32">
    <w:name w:val="style_kwd"/>
    <w:basedOn w:val="27"/>
    <w:qFormat/>
    <w:uiPriority w:val="0"/>
  </w:style>
  <w:style w:type="character" w:customStyle="1" w:styleId="33">
    <w:name w:val="批注文字 Char1"/>
    <w:qFormat/>
    <w:uiPriority w:val="0"/>
    <w:rPr>
      <w:rFonts w:ascii="Times New Roman" w:hAnsi="Times New Roman" w:eastAsia="宋体" w:cs="Times New Roman"/>
      <w:sz w:val="20"/>
      <w:szCs w:val="20"/>
      <w:lang w:bidi="ar-SA"/>
    </w:rPr>
  </w:style>
  <w:style w:type="character" w:customStyle="1" w:styleId="34">
    <w:name w:val="Comment Text Char"/>
    <w:qFormat/>
    <w:uiPriority w:val="0"/>
  </w:style>
  <w:style w:type="paragraph" w:customStyle="1" w:styleId="35">
    <w:name w:val="Revision"/>
    <w:qFormat/>
    <w:uiPriority w:val="0"/>
    <w:rPr>
      <w:rFonts w:ascii="Times New Roman" w:hAnsi="Times New Roman" w:eastAsia="宋体" w:cs="Times New Roman"/>
      <w:kern w:val="2"/>
      <w:sz w:val="21"/>
      <w:lang w:val="en-US" w:eastAsia="zh-CN" w:bidi="ar-SA"/>
    </w:rPr>
  </w:style>
  <w:style w:type="paragraph" w:customStyle="1" w:styleId="36">
    <w:name w:val="_Style 23"/>
    <w:basedOn w:val="1"/>
    <w:qFormat/>
    <w:uiPriority w:val="0"/>
    <w:pPr>
      <w:widowControl/>
      <w:spacing w:after="160" w:line="240" w:lineRule="exact"/>
      <w:jc w:val="left"/>
    </w:pPr>
  </w:style>
  <w:style w:type="paragraph" w:customStyle="1" w:styleId="37">
    <w:name w:val="TOC Heading"/>
    <w:basedOn w:val="2"/>
    <w:next w:val="1"/>
    <w:qFormat/>
    <w:uiPriority w:val="39"/>
    <w:pPr>
      <w:widowControl/>
      <w:spacing w:before="480" w:after="0" w:line="276" w:lineRule="auto"/>
      <w:jc w:val="left"/>
      <w:outlineLvl w:val="9"/>
    </w:pPr>
    <w:rPr>
      <w:rFonts w:ascii="Cambria" w:hAnsi="Cambria"/>
      <w:color w:val="365F91"/>
      <w:kern w:val="0"/>
      <w:sz w:val="28"/>
    </w:rPr>
  </w:style>
  <w:style w:type="character" w:customStyle="1" w:styleId="38">
    <w:name w:val="批注文字 Char"/>
    <w:basedOn w:val="27"/>
    <w:link w:val="8"/>
    <w:qFormat/>
    <w:uiPriority w:val="0"/>
    <w:rPr>
      <w:rFonts w:eastAsia="宋体"/>
      <w:kern w:val="2"/>
      <w:sz w:val="21"/>
    </w:rPr>
  </w:style>
  <w:style w:type="character" w:customStyle="1" w:styleId="39">
    <w:name w:val="正文文本 3 Char"/>
    <w:basedOn w:val="27"/>
    <w:link w:val="9"/>
    <w:qFormat/>
    <w:uiPriority w:val="0"/>
    <w:rPr>
      <w:rFonts w:ascii="宋体" w:hAnsi="Calibri" w:eastAsia="宋体"/>
      <w:kern w:val="2"/>
      <w:sz w:val="24"/>
    </w:rPr>
  </w:style>
  <w:style w:type="character" w:customStyle="1" w:styleId="40">
    <w:name w:val="font161"/>
    <w:qFormat/>
    <w:uiPriority w:val="0"/>
    <w:rPr>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8BDF83-A3C8-4A7D-AD95-33CF64F695E6}">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58</Pages>
  <Words>3105</Words>
  <Characters>3571</Characters>
  <Lines>360</Lines>
  <Paragraphs>101</Paragraphs>
  <TotalTime>0</TotalTime>
  <ScaleCrop>false</ScaleCrop>
  <LinksUpToDate>false</LinksUpToDate>
  <CharactersWithSpaces>4509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2017-02-20T01:14:00Z</dcterms:created>
  <dc:creator>袁静</dc:creator>
  <cp:lastModifiedBy>hao</cp:lastModifiedBy>
  <cp:lastPrinted>2017-09-04T09:36:00Z</cp:lastPrinted>
  <dcterms:modified xsi:type="dcterms:W3CDTF">2025-11-02T12:34:54Z</dcterms:modified>
  <dc:title>中华人民共和国</dc:title>
  <cp:revision>254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3D959D898CAC4255BA6B164246E0E666</vt:lpwstr>
  </property>
  <property fmtid="{D5CDD505-2E9C-101B-9397-08002B2CF9AE}" pid="4" name="KSOTemplateDocerSaveRecord">
    <vt:lpwstr>eyJoZGlkIjoiOWMwYjJjNmVkNDc0YWY5MDNmZWVjY2VmMDc1YmRkMmEiLCJ1c2VySWQiOiIxMzAwNDE4NTUifQ==</vt:lpwstr>
  </property>
</Properties>
</file>